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BB78" w14:textId="77777777" w:rsidR="0027782E" w:rsidRPr="0027782E" w:rsidRDefault="0027782E" w:rsidP="0027782E">
      <w:pPr>
        <w:ind w:left="720" w:hanging="360"/>
        <w:jc w:val="center"/>
        <w:rPr>
          <w:sz w:val="36"/>
          <w:szCs w:val="36"/>
        </w:rPr>
      </w:pPr>
      <w:r>
        <w:rPr>
          <w:noProof/>
        </w:rPr>
        <w:drawing>
          <wp:inline distT="0" distB="0" distL="0" distR="0" wp14:anchorId="5BC078CB" wp14:editId="1E0DABD8">
            <wp:extent cx="2042985" cy="1149179"/>
            <wp:effectExtent l="0" t="0" r="0" b="0"/>
            <wp:docPr id="598743858" name="Picture 1" descr="A picture containing black, darkness, screensho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43858" name="Picture 1" descr="A picture containing black, darkness, screenshot, black and wh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985" cy="1149179"/>
                    </a:xfrm>
                    <a:prstGeom prst="rect">
                      <a:avLst/>
                    </a:prstGeom>
                  </pic:spPr>
                </pic:pic>
              </a:graphicData>
            </a:graphic>
          </wp:inline>
        </w:drawing>
      </w:r>
    </w:p>
    <w:p w14:paraId="6F69733D" w14:textId="7CBA9318" w:rsidR="0027782E" w:rsidRPr="002F1E83" w:rsidRDefault="0027782E" w:rsidP="0027782E">
      <w:pPr>
        <w:ind w:left="720" w:hanging="360"/>
        <w:jc w:val="center"/>
        <w:rPr>
          <w:b/>
          <w:bCs/>
          <w:sz w:val="36"/>
          <w:szCs w:val="36"/>
          <w:u w:val="double"/>
        </w:rPr>
      </w:pPr>
      <w:r w:rsidRPr="002F1E83">
        <w:rPr>
          <w:b/>
          <w:bCs/>
          <w:sz w:val="36"/>
          <w:szCs w:val="36"/>
          <w:u w:val="double"/>
        </w:rPr>
        <w:t>Indigenous Tourism Resource List</w:t>
      </w:r>
    </w:p>
    <w:p w14:paraId="596D0058" w14:textId="77777777" w:rsidR="0027782E" w:rsidRDefault="0027782E" w:rsidP="00E641A3">
      <w:pPr>
        <w:ind w:left="720" w:hanging="360"/>
        <w:rPr>
          <w:u w:val="single"/>
        </w:rPr>
      </w:pPr>
    </w:p>
    <w:p w14:paraId="670C3461" w14:textId="3B76D8EE" w:rsidR="00421AC0" w:rsidRPr="0027782E" w:rsidRDefault="00421AC0" w:rsidP="00E641A3">
      <w:pPr>
        <w:ind w:left="720" w:hanging="360"/>
        <w:rPr>
          <w:b/>
          <w:bCs/>
          <w:sz w:val="32"/>
          <w:szCs w:val="32"/>
          <w:u w:val="single"/>
        </w:rPr>
      </w:pPr>
      <w:r w:rsidRPr="0027782E">
        <w:rPr>
          <w:b/>
          <w:bCs/>
          <w:sz w:val="32"/>
          <w:szCs w:val="32"/>
          <w:u w:val="single"/>
        </w:rPr>
        <w:t>Experiences</w:t>
      </w:r>
    </w:p>
    <w:p w14:paraId="27467C28" w14:textId="512E29A3" w:rsidR="00E641A3" w:rsidRDefault="00E641A3" w:rsidP="00E641A3">
      <w:pPr>
        <w:pStyle w:val="ListParagraph"/>
        <w:numPr>
          <w:ilvl w:val="0"/>
          <w:numId w:val="1"/>
        </w:numPr>
      </w:pPr>
      <w:proofErr w:type="spellStart"/>
      <w:r>
        <w:t>Eskasoni</w:t>
      </w:r>
      <w:proofErr w:type="spellEnd"/>
      <w:r>
        <w:t xml:space="preserve"> Cultural Journeys</w:t>
      </w:r>
    </w:p>
    <w:p w14:paraId="65396156" w14:textId="2C289CE4" w:rsidR="008B7882" w:rsidRDefault="00000000" w:rsidP="00E641A3">
      <w:pPr>
        <w:ind w:firstLine="720"/>
      </w:pPr>
      <w:hyperlink r:id="rId9" w:history="1">
        <w:r w:rsidR="00E641A3" w:rsidRPr="00882699">
          <w:rPr>
            <w:rStyle w:val="Hyperlink"/>
          </w:rPr>
          <w:t>https://eskasoniculturaljourneys.ca/</w:t>
        </w:r>
      </w:hyperlink>
    </w:p>
    <w:p w14:paraId="68E31427" w14:textId="465BE663" w:rsidR="00C02542" w:rsidRDefault="00C02542" w:rsidP="00E641A3">
      <w:pPr>
        <w:ind w:left="720"/>
        <w:rPr>
          <w:rFonts w:cstheme="minorHAnsi"/>
          <w:shd w:val="clear" w:color="auto" w:fill="FFFFFF"/>
        </w:rPr>
      </w:pPr>
      <w:r w:rsidRPr="00C02542">
        <w:rPr>
          <w:rFonts w:cstheme="minorHAnsi"/>
          <w:shd w:val="clear" w:color="auto" w:fill="FFFFFF"/>
        </w:rPr>
        <w:t>Goat Island invites visitors to share in a unique story while preserving its First People’s culture. As one of the first market ready Mi’kmaw experiences in the Atlantic, Goat Island leaves a lasting emotional impact on all who visit.</w:t>
      </w:r>
    </w:p>
    <w:p w14:paraId="493EA98F" w14:textId="31EBA150" w:rsidR="00E641A3" w:rsidRPr="00E641A3" w:rsidRDefault="00E641A3" w:rsidP="00E641A3">
      <w:pPr>
        <w:pStyle w:val="ListParagraph"/>
        <w:numPr>
          <w:ilvl w:val="0"/>
          <w:numId w:val="1"/>
        </w:numPr>
        <w:rPr>
          <w:rFonts w:cstheme="minorHAnsi"/>
          <w:shd w:val="clear" w:color="auto" w:fill="FFFFFF"/>
        </w:rPr>
      </w:pPr>
      <w:proofErr w:type="spellStart"/>
      <w:r>
        <w:rPr>
          <w:rFonts w:cstheme="minorHAnsi"/>
          <w:shd w:val="clear" w:color="auto" w:fill="FFFFFF"/>
        </w:rPr>
        <w:t>Elsipogtog</w:t>
      </w:r>
      <w:proofErr w:type="spellEnd"/>
      <w:r>
        <w:rPr>
          <w:rFonts w:cstheme="minorHAnsi"/>
          <w:shd w:val="clear" w:color="auto" w:fill="FFFFFF"/>
        </w:rPr>
        <w:t xml:space="preserve"> Mi’kmaw Cultural Centre – Heritage Path Tour</w:t>
      </w:r>
    </w:p>
    <w:p w14:paraId="19AD6994" w14:textId="6AEACBE8" w:rsidR="00C02542" w:rsidRDefault="00000000" w:rsidP="00E641A3">
      <w:pPr>
        <w:ind w:firstLine="720"/>
        <w:rPr>
          <w:rFonts w:cstheme="minorHAnsi"/>
        </w:rPr>
      </w:pPr>
      <w:hyperlink r:id="rId10" w:history="1">
        <w:r w:rsidR="00E641A3" w:rsidRPr="00882699">
          <w:rPr>
            <w:rStyle w:val="Hyperlink"/>
            <w:rFonts w:cstheme="minorHAnsi"/>
          </w:rPr>
          <w:t>https://heritagepathtour.com/</w:t>
        </w:r>
      </w:hyperlink>
    </w:p>
    <w:p w14:paraId="0E8A6045" w14:textId="4A3D1E38" w:rsidR="00C02542" w:rsidRPr="00C02542" w:rsidRDefault="00C02542" w:rsidP="00E641A3">
      <w:pPr>
        <w:pStyle w:val="NormalWeb"/>
        <w:shd w:val="clear" w:color="auto" w:fill="FFFFFF"/>
        <w:spacing w:before="0" w:beforeAutospacing="0"/>
        <w:ind w:left="720"/>
        <w:jc w:val="both"/>
        <w:rPr>
          <w:rFonts w:asciiTheme="minorHAnsi" w:hAnsiTheme="minorHAnsi" w:cstheme="minorHAnsi"/>
          <w:sz w:val="22"/>
          <w:szCs w:val="22"/>
        </w:rPr>
      </w:pPr>
      <w:r w:rsidRPr="00C02542">
        <w:rPr>
          <w:rFonts w:asciiTheme="minorHAnsi" w:hAnsiTheme="minorHAnsi" w:cstheme="minorHAnsi"/>
          <w:sz w:val="22"/>
          <w:szCs w:val="22"/>
        </w:rPr>
        <w:t xml:space="preserve">Guests are immersed into the Mi’kmaq culture at </w:t>
      </w:r>
      <w:proofErr w:type="spellStart"/>
      <w:r w:rsidRPr="00C02542">
        <w:rPr>
          <w:rFonts w:asciiTheme="minorHAnsi" w:hAnsiTheme="minorHAnsi" w:cstheme="minorHAnsi"/>
          <w:sz w:val="22"/>
          <w:szCs w:val="22"/>
        </w:rPr>
        <w:t>Elsipogtog</w:t>
      </w:r>
      <w:proofErr w:type="spellEnd"/>
      <w:r w:rsidRPr="00C02542">
        <w:rPr>
          <w:rFonts w:asciiTheme="minorHAnsi" w:hAnsiTheme="minorHAnsi" w:cstheme="minorHAnsi"/>
          <w:sz w:val="22"/>
          <w:szCs w:val="22"/>
        </w:rPr>
        <w:t xml:space="preserve">, First Nation, New Brunswick for 1.5 hours with this one of a kind experience! After a traditional greeting, guests will enter the community raised teepee for a smudging ceremony along with teachings and insights that will help connect the past to the present cultural ways and customs. After guests are led into the natural, forested Heritage Path where they will learn about traditional and time honored ways of using Mother Nature’s gifts and medicines for a better self and community. This 2023 season will see guests experiencing our authentically constructed wigwam, longhouse and </w:t>
      </w:r>
      <w:proofErr w:type="spellStart"/>
      <w:r w:rsidRPr="00C02542">
        <w:rPr>
          <w:rFonts w:asciiTheme="minorHAnsi" w:hAnsiTheme="minorHAnsi" w:cstheme="minorHAnsi"/>
          <w:sz w:val="22"/>
          <w:szCs w:val="22"/>
        </w:rPr>
        <w:t>sweatlodge</w:t>
      </w:r>
      <w:proofErr w:type="spellEnd"/>
      <w:r w:rsidRPr="00C02542">
        <w:rPr>
          <w:rFonts w:asciiTheme="minorHAnsi" w:hAnsiTheme="minorHAnsi" w:cstheme="minorHAnsi"/>
          <w:sz w:val="22"/>
          <w:szCs w:val="22"/>
        </w:rPr>
        <w:t xml:space="preserve"> made by our local elder and knowledge keeper. Guests will be able to step inside and feel how life would have been like back in ancestral times!</w:t>
      </w:r>
    </w:p>
    <w:p w14:paraId="6D9C0058" w14:textId="6D92C8F5" w:rsidR="00C02542" w:rsidRDefault="00C02542" w:rsidP="00E641A3">
      <w:pPr>
        <w:pStyle w:val="NormalWeb"/>
        <w:shd w:val="clear" w:color="auto" w:fill="FFFFFF"/>
        <w:spacing w:before="0" w:beforeAutospacing="0"/>
        <w:ind w:left="720"/>
        <w:jc w:val="both"/>
        <w:rPr>
          <w:rFonts w:asciiTheme="minorHAnsi" w:hAnsiTheme="minorHAnsi" w:cstheme="minorHAnsi"/>
          <w:sz w:val="22"/>
          <w:szCs w:val="22"/>
        </w:rPr>
      </w:pPr>
      <w:r w:rsidRPr="00C02542">
        <w:rPr>
          <w:rFonts w:asciiTheme="minorHAnsi" w:hAnsiTheme="minorHAnsi" w:cstheme="minorHAnsi"/>
          <w:sz w:val="22"/>
          <w:szCs w:val="22"/>
        </w:rPr>
        <w:t>The last part of the Heritage Path journey takes place in the Cultural Centre where guests have a safe space to ask any and all questions they may have about the Mi’kmaq culture.</w:t>
      </w:r>
    </w:p>
    <w:p w14:paraId="6A4D7149" w14:textId="3A07FC01" w:rsidR="00E641A3" w:rsidRDefault="00E641A3" w:rsidP="00E641A3">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Membertou Heritage Park</w:t>
      </w:r>
    </w:p>
    <w:p w14:paraId="743FAB5C" w14:textId="2E2EE281" w:rsidR="00C02542" w:rsidRDefault="00000000" w:rsidP="00E641A3">
      <w:pPr>
        <w:pStyle w:val="NormalWeb"/>
        <w:shd w:val="clear" w:color="auto" w:fill="FFFFFF"/>
        <w:spacing w:before="0" w:beforeAutospacing="0"/>
        <w:ind w:firstLine="720"/>
        <w:jc w:val="both"/>
        <w:rPr>
          <w:rFonts w:asciiTheme="minorHAnsi" w:hAnsiTheme="minorHAnsi" w:cstheme="minorHAnsi"/>
          <w:sz w:val="22"/>
          <w:szCs w:val="22"/>
        </w:rPr>
      </w:pPr>
      <w:hyperlink r:id="rId11" w:history="1">
        <w:r w:rsidR="00E641A3" w:rsidRPr="00882699">
          <w:rPr>
            <w:rStyle w:val="Hyperlink"/>
            <w:rFonts w:asciiTheme="minorHAnsi" w:hAnsiTheme="minorHAnsi" w:cstheme="minorHAnsi"/>
            <w:sz w:val="22"/>
            <w:szCs w:val="22"/>
          </w:rPr>
          <w:t>https://www.membertouheritagepark.com/</w:t>
        </w:r>
      </w:hyperlink>
    </w:p>
    <w:p w14:paraId="2AD18B68" w14:textId="71E9A0CF" w:rsidR="00C02542" w:rsidRDefault="00C02542" w:rsidP="00E641A3">
      <w:pPr>
        <w:pStyle w:val="NormalWeb"/>
        <w:shd w:val="clear" w:color="auto" w:fill="FFFFFF"/>
        <w:spacing w:before="0" w:beforeAutospacing="0"/>
        <w:ind w:left="720"/>
        <w:jc w:val="both"/>
        <w:rPr>
          <w:rFonts w:asciiTheme="minorHAnsi" w:hAnsiTheme="minorHAnsi" w:cstheme="minorHAnsi"/>
          <w:sz w:val="22"/>
          <w:szCs w:val="22"/>
        </w:rPr>
      </w:pPr>
      <w:r>
        <w:rPr>
          <w:rFonts w:asciiTheme="minorHAnsi" w:hAnsiTheme="minorHAnsi" w:cstheme="minorHAnsi"/>
          <w:sz w:val="22"/>
          <w:szCs w:val="22"/>
        </w:rPr>
        <w:t>The Membertou Heritage Park consists of a five-acre site that offers a living history of the people of Membertou. A large indoor exhibit and program area offers the visitor full immersion to an ancient culture.</w:t>
      </w:r>
    </w:p>
    <w:p w14:paraId="2F423BFD" w14:textId="77777777" w:rsidR="0027782E" w:rsidRDefault="0027782E" w:rsidP="0027782E">
      <w:pPr>
        <w:pStyle w:val="NormalWeb"/>
        <w:shd w:val="clear" w:color="auto" w:fill="FFFFFF"/>
        <w:spacing w:before="0" w:beforeAutospacing="0"/>
        <w:jc w:val="both"/>
        <w:rPr>
          <w:rFonts w:asciiTheme="minorHAnsi" w:hAnsiTheme="minorHAnsi" w:cstheme="minorHAnsi"/>
          <w:sz w:val="22"/>
          <w:szCs w:val="22"/>
        </w:rPr>
      </w:pPr>
    </w:p>
    <w:p w14:paraId="064D78C7" w14:textId="430E60A9" w:rsidR="0027782E" w:rsidRDefault="0027782E" w:rsidP="0027782E">
      <w:pPr>
        <w:pStyle w:val="NormalWeb"/>
        <w:shd w:val="clear" w:color="auto" w:fill="FFFFFF"/>
        <w:spacing w:before="0" w:beforeAutospacing="0"/>
        <w:ind w:left="720"/>
        <w:jc w:val="center"/>
        <w:rPr>
          <w:rFonts w:asciiTheme="minorHAnsi" w:hAnsiTheme="minorHAnsi" w:cstheme="minorHAnsi"/>
          <w:sz w:val="22"/>
          <w:szCs w:val="22"/>
        </w:rPr>
      </w:pPr>
      <w:r>
        <w:rPr>
          <w:noProof/>
        </w:rPr>
        <w:lastRenderedPageBreak/>
        <w:drawing>
          <wp:inline distT="0" distB="0" distL="0" distR="0" wp14:anchorId="199F1747" wp14:editId="365961E7">
            <wp:extent cx="2042985" cy="1149179"/>
            <wp:effectExtent l="0" t="0" r="0" b="0"/>
            <wp:docPr id="1347048735" name="Picture 1347048735" descr="A picture containing black, darkness, screensho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43858" name="Picture 1" descr="A picture containing black, darkness, screenshot, black and wh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985" cy="1149179"/>
                    </a:xfrm>
                    <a:prstGeom prst="rect">
                      <a:avLst/>
                    </a:prstGeom>
                  </pic:spPr>
                </pic:pic>
              </a:graphicData>
            </a:graphic>
          </wp:inline>
        </w:drawing>
      </w:r>
    </w:p>
    <w:p w14:paraId="75922290" w14:textId="7CAAA3E9" w:rsidR="0027782E" w:rsidRDefault="0027782E" w:rsidP="0027782E">
      <w:pPr>
        <w:pStyle w:val="NormalWeb"/>
        <w:shd w:val="clear" w:color="auto" w:fill="FFFFFF"/>
        <w:spacing w:before="0" w:beforeAutospacing="0"/>
        <w:ind w:left="720"/>
        <w:jc w:val="center"/>
        <w:rPr>
          <w:rFonts w:asciiTheme="minorHAnsi" w:hAnsiTheme="minorHAnsi" w:cstheme="minorHAnsi"/>
          <w:sz w:val="22"/>
          <w:szCs w:val="22"/>
        </w:rPr>
      </w:pPr>
    </w:p>
    <w:p w14:paraId="576909B0" w14:textId="34A10888" w:rsidR="00E641A3" w:rsidRDefault="00E641A3" w:rsidP="00E641A3">
      <w:pPr>
        <w:pStyle w:val="NormalWeb"/>
        <w:numPr>
          <w:ilvl w:val="0"/>
          <w:numId w:val="1"/>
        </w:numPr>
        <w:shd w:val="clear" w:color="auto" w:fill="FFFFFF"/>
        <w:spacing w:before="0" w:beforeAutospacing="0"/>
        <w:jc w:val="both"/>
        <w:rPr>
          <w:rFonts w:asciiTheme="minorHAnsi" w:hAnsiTheme="minorHAnsi" w:cstheme="minorHAnsi"/>
          <w:sz w:val="22"/>
          <w:szCs w:val="22"/>
        </w:rPr>
      </w:pPr>
      <w:proofErr w:type="spellStart"/>
      <w:r>
        <w:rPr>
          <w:rFonts w:asciiTheme="minorHAnsi" w:hAnsiTheme="minorHAnsi" w:cstheme="minorHAnsi"/>
          <w:sz w:val="22"/>
          <w:szCs w:val="22"/>
        </w:rPr>
        <w:t>Kejimkujik</w:t>
      </w:r>
      <w:proofErr w:type="spellEnd"/>
      <w:r>
        <w:rPr>
          <w:rFonts w:asciiTheme="minorHAnsi" w:hAnsiTheme="minorHAnsi" w:cstheme="minorHAnsi"/>
          <w:sz w:val="22"/>
          <w:szCs w:val="22"/>
        </w:rPr>
        <w:t xml:space="preserve"> National Park – Guided Petroglyph Tours</w:t>
      </w:r>
    </w:p>
    <w:p w14:paraId="0FCC75E2" w14:textId="1D31FF83" w:rsidR="00E641A3" w:rsidRDefault="00000000" w:rsidP="00E641A3">
      <w:pPr>
        <w:pStyle w:val="NormalWeb"/>
        <w:shd w:val="clear" w:color="auto" w:fill="FFFFFF"/>
        <w:spacing w:before="0" w:beforeAutospacing="0"/>
        <w:ind w:left="720"/>
        <w:jc w:val="both"/>
        <w:rPr>
          <w:rFonts w:asciiTheme="minorHAnsi" w:hAnsiTheme="minorHAnsi" w:cstheme="minorHAnsi"/>
          <w:sz w:val="22"/>
          <w:szCs w:val="22"/>
        </w:rPr>
      </w:pPr>
      <w:hyperlink r:id="rId12" w:history="1">
        <w:r w:rsidR="00E641A3" w:rsidRPr="00882699">
          <w:rPr>
            <w:rStyle w:val="Hyperlink"/>
            <w:rFonts w:asciiTheme="minorHAnsi" w:hAnsiTheme="minorHAnsi" w:cstheme="minorHAnsi"/>
            <w:sz w:val="22"/>
            <w:szCs w:val="22"/>
          </w:rPr>
          <w:t>https://parks.canada.ca/pn-np/ns/kejimkujik/activ/decouverte-tours/guidee-petroglyphes-guided-petroglyphs</w:t>
        </w:r>
      </w:hyperlink>
    </w:p>
    <w:p w14:paraId="577F44B5" w14:textId="77777777" w:rsidR="00E641A3" w:rsidRPr="00E641A3" w:rsidRDefault="00E641A3" w:rsidP="00E641A3">
      <w:pPr>
        <w:pStyle w:val="NormalWeb"/>
        <w:shd w:val="clear" w:color="auto" w:fill="FFFFFF"/>
        <w:spacing w:before="0" w:beforeAutospacing="0" w:after="173" w:afterAutospacing="0"/>
        <w:ind w:left="720"/>
        <w:rPr>
          <w:rFonts w:asciiTheme="minorHAnsi" w:hAnsiTheme="minorHAnsi" w:cstheme="minorHAnsi"/>
          <w:sz w:val="22"/>
          <w:szCs w:val="22"/>
        </w:rPr>
      </w:pPr>
      <w:r w:rsidRPr="00E641A3">
        <w:rPr>
          <w:rFonts w:asciiTheme="minorHAnsi" w:hAnsiTheme="minorHAnsi" w:cstheme="minorHAnsi"/>
          <w:sz w:val="22"/>
          <w:szCs w:val="22"/>
        </w:rPr>
        <w:t xml:space="preserve">Discover one of the largest collections of petroglyphs in North America along the shores of </w:t>
      </w:r>
      <w:proofErr w:type="spellStart"/>
      <w:r w:rsidRPr="00E641A3">
        <w:rPr>
          <w:rFonts w:asciiTheme="minorHAnsi" w:hAnsiTheme="minorHAnsi" w:cstheme="minorHAnsi"/>
          <w:sz w:val="22"/>
          <w:szCs w:val="22"/>
        </w:rPr>
        <w:t>Kejimkujik</w:t>
      </w:r>
      <w:proofErr w:type="spellEnd"/>
      <w:r w:rsidRPr="00E641A3">
        <w:rPr>
          <w:rFonts w:asciiTheme="minorHAnsi" w:hAnsiTheme="minorHAnsi" w:cstheme="minorHAnsi"/>
          <w:sz w:val="22"/>
          <w:szCs w:val="22"/>
        </w:rPr>
        <w:t xml:space="preserve"> Lake. The Guided Petroglyph Tour is available to private groups who book in advance.</w:t>
      </w:r>
    </w:p>
    <w:p w14:paraId="487BA666" w14:textId="77777777" w:rsidR="00E641A3" w:rsidRPr="00E641A3" w:rsidRDefault="00E641A3" w:rsidP="00E641A3">
      <w:pPr>
        <w:pStyle w:val="NormalWeb"/>
        <w:shd w:val="clear" w:color="auto" w:fill="FFFFFF"/>
        <w:spacing w:before="0" w:beforeAutospacing="0" w:after="173" w:afterAutospacing="0"/>
        <w:ind w:left="720"/>
        <w:rPr>
          <w:rFonts w:asciiTheme="minorHAnsi" w:hAnsiTheme="minorHAnsi" w:cstheme="minorHAnsi"/>
          <w:sz w:val="22"/>
          <w:szCs w:val="22"/>
        </w:rPr>
      </w:pPr>
      <w:r w:rsidRPr="00E641A3">
        <w:rPr>
          <w:rFonts w:asciiTheme="minorHAnsi" w:hAnsiTheme="minorHAnsi" w:cstheme="minorHAnsi"/>
          <w:sz w:val="22"/>
          <w:szCs w:val="22"/>
        </w:rPr>
        <w:t>Follow the footsteps of history where ancient stone carvings paint many pictures of the Mi’kmaw way of life. See and feel these images as they share stories from over 4,000 years ago.</w:t>
      </w:r>
    </w:p>
    <w:p w14:paraId="4AAB7E4E" w14:textId="77777777" w:rsidR="00E641A3" w:rsidRDefault="00E641A3" w:rsidP="00E641A3">
      <w:pPr>
        <w:pStyle w:val="NormalWeb"/>
        <w:shd w:val="clear" w:color="auto" w:fill="FFFFFF"/>
        <w:spacing w:before="0" w:beforeAutospacing="0" w:after="173" w:afterAutospacing="0"/>
        <w:ind w:firstLine="720"/>
        <w:rPr>
          <w:rFonts w:asciiTheme="minorHAnsi" w:hAnsiTheme="minorHAnsi" w:cstheme="minorHAnsi"/>
          <w:sz w:val="22"/>
          <w:szCs w:val="22"/>
        </w:rPr>
      </w:pPr>
      <w:r w:rsidRPr="00E641A3">
        <w:rPr>
          <w:rFonts w:asciiTheme="minorHAnsi" w:hAnsiTheme="minorHAnsi" w:cstheme="minorHAnsi"/>
          <w:sz w:val="22"/>
          <w:szCs w:val="22"/>
        </w:rPr>
        <w:t>The petroglyphs are in a restricted area and the tours are the only way visitors can access them.</w:t>
      </w:r>
    </w:p>
    <w:p w14:paraId="1EDA541E" w14:textId="77777777" w:rsidR="00D57644" w:rsidRDefault="00D57644" w:rsidP="00E641A3">
      <w:pPr>
        <w:pStyle w:val="NormalWeb"/>
        <w:shd w:val="clear" w:color="auto" w:fill="FFFFFF"/>
        <w:spacing w:before="0" w:beforeAutospacing="0" w:after="173" w:afterAutospacing="0"/>
        <w:ind w:firstLine="720"/>
        <w:rPr>
          <w:rFonts w:asciiTheme="minorHAnsi" w:hAnsiTheme="minorHAnsi" w:cstheme="minorHAnsi"/>
          <w:sz w:val="22"/>
          <w:szCs w:val="22"/>
        </w:rPr>
      </w:pPr>
    </w:p>
    <w:p w14:paraId="54F6EDAF" w14:textId="564A6F72" w:rsidR="00874AA0" w:rsidRDefault="00874AA0" w:rsidP="00874AA0">
      <w:pPr>
        <w:pStyle w:val="NormalWeb"/>
        <w:numPr>
          <w:ilvl w:val="0"/>
          <w:numId w:val="1"/>
        </w:numPr>
        <w:shd w:val="clear" w:color="auto" w:fill="FFFFFF"/>
        <w:spacing w:before="0" w:beforeAutospacing="0" w:after="173" w:afterAutospacing="0"/>
        <w:rPr>
          <w:rFonts w:asciiTheme="minorHAnsi" w:hAnsiTheme="minorHAnsi" w:cstheme="minorHAnsi"/>
          <w:sz w:val="22"/>
          <w:szCs w:val="22"/>
        </w:rPr>
      </w:pPr>
      <w:r>
        <w:rPr>
          <w:rFonts w:asciiTheme="minorHAnsi" w:hAnsiTheme="minorHAnsi" w:cstheme="minorHAnsi"/>
          <w:sz w:val="22"/>
          <w:szCs w:val="22"/>
        </w:rPr>
        <w:t>Bedford Petroglyphs National Historic Site</w:t>
      </w:r>
    </w:p>
    <w:p w14:paraId="6E108F8C" w14:textId="5C2DCBF3" w:rsidR="00874AA0" w:rsidRDefault="00000000" w:rsidP="00874AA0">
      <w:pPr>
        <w:pStyle w:val="NormalWeb"/>
        <w:shd w:val="clear" w:color="auto" w:fill="FFFFFF"/>
        <w:spacing w:before="0" w:beforeAutospacing="0" w:after="173" w:afterAutospacing="0"/>
        <w:ind w:left="720"/>
        <w:rPr>
          <w:rFonts w:asciiTheme="minorHAnsi" w:hAnsiTheme="minorHAnsi" w:cstheme="minorHAnsi"/>
          <w:sz w:val="22"/>
          <w:szCs w:val="22"/>
        </w:rPr>
      </w:pPr>
      <w:hyperlink r:id="rId13" w:history="1">
        <w:r w:rsidR="00874AA0" w:rsidRPr="00882699">
          <w:rPr>
            <w:rStyle w:val="Hyperlink"/>
            <w:rFonts w:asciiTheme="minorHAnsi" w:hAnsiTheme="minorHAnsi" w:cstheme="minorHAnsi"/>
            <w:sz w:val="22"/>
            <w:szCs w:val="22"/>
          </w:rPr>
          <w:t>https://www.pc.gc.ca/apps/dfhd/page_nhs_eng.aspx?id=827</w:t>
        </w:r>
      </w:hyperlink>
    </w:p>
    <w:p w14:paraId="4342BCB9" w14:textId="077B4C8B" w:rsidR="00874AA0" w:rsidRPr="00400797" w:rsidRDefault="00874AA0" w:rsidP="00874AA0">
      <w:pPr>
        <w:pStyle w:val="NormalWeb"/>
        <w:shd w:val="clear" w:color="auto" w:fill="FFFFFF"/>
        <w:spacing w:before="0" w:beforeAutospacing="0" w:after="173" w:afterAutospacing="0"/>
        <w:ind w:left="720"/>
        <w:rPr>
          <w:rFonts w:asciiTheme="minorHAnsi" w:hAnsiTheme="minorHAnsi" w:cstheme="minorHAnsi"/>
          <w:sz w:val="22"/>
          <w:szCs w:val="22"/>
        </w:rPr>
      </w:pPr>
      <w:r w:rsidRPr="00400797">
        <w:rPr>
          <w:rFonts w:asciiTheme="minorHAnsi" w:hAnsiTheme="minorHAnsi" w:cstheme="minorHAnsi"/>
          <w:sz w:val="22"/>
          <w:szCs w:val="22"/>
          <w:shd w:val="clear" w:color="auto" w:fill="FFFFFF"/>
        </w:rPr>
        <w:t>Bedford Petroglyphs National Historic Site of Canada consists of two glyphs covering approximately 2 square metres of a quartzite outcrop surface that forms one of the parallel ridges of the Bedford Barrens.</w:t>
      </w:r>
    </w:p>
    <w:p w14:paraId="05DD4793" w14:textId="3892B028" w:rsidR="00E641A3" w:rsidRDefault="00400797" w:rsidP="00400797">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Lennox Island Mi’kmaq Cultural Centre</w:t>
      </w:r>
    </w:p>
    <w:p w14:paraId="43C69A31" w14:textId="280B2A11" w:rsidR="00400797" w:rsidRDefault="00000000" w:rsidP="00400797">
      <w:pPr>
        <w:pStyle w:val="NormalWeb"/>
        <w:shd w:val="clear" w:color="auto" w:fill="FFFFFF"/>
        <w:spacing w:before="0" w:beforeAutospacing="0"/>
        <w:ind w:left="720"/>
        <w:jc w:val="both"/>
        <w:rPr>
          <w:rFonts w:asciiTheme="minorHAnsi" w:hAnsiTheme="minorHAnsi" w:cstheme="minorHAnsi"/>
          <w:sz w:val="22"/>
          <w:szCs w:val="22"/>
        </w:rPr>
      </w:pPr>
      <w:hyperlink r:id="rId14" w:anchor="CulturalCentre" w:history="1">
        <w:r w:rsidR="00400797" w:rsidRPr="00882699">
          <w:rPr>
            <w:rStyle w:val="Hyperlink"/>
            <w:rFonts w:asciiTheme="minorHAnsi" w:hAnsiTheme="minorHAnsi" w:cstheme="minorHAnsi"/>
            <w:sz w:val="22"/>
            <w:szCs w:val="22"/>
          </w:rPr>
          <w:t>https://lennoxisland.com/culture-experiences/#CulturalCentre</w:t>
        </w:r>
      </w:hyperlink>
    </w:p>
    <w:p w14:paraId="45485C1B" w14:textId="232B87B9" w:rsidR="00400797" w:rsidRDefault="00400797" w:rsidP="00400797">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400797">
        <w:rPr>
          <w:rFonts w:asciiTheme="minorHAnsi" w:hAnsiTheme="minorHAnsi" w:cstheme="minorHAnsi"/>
          <w:sz w:val="22"/>
          <w:szCs w:val="22"/>
          <w:shd w:val="clear" w:color="auto" w:fill="FFFFFF"/>
        </w:rPr>
        <w:t xml:space="preserve">The centre has interpretive displays that explain the history, culture, language, spirituality, and religion of the Mi’kmaq through to the present day. These displays, as well as the cultural centre’s artifacts and photographs, positively promote history and customs. </w:t>
      </w:r>
    </w:p>
    <w:p w14:paraId="40BC51BC" w14:textId="2F372B4A" w:rsidR="00400797" w:rsidRDefault="001761CF" w:rsidP="001761CF">
      <w:pPr>
        <w:pStyle w:val="NormalWeb"/>
        <w:numPr>
          <w:ilvl w:val="0"/>
          <w:numId w:val="1"/>
        </w:numPr>
        <w:shd w:val="clear" w:color="auto" w:fill="FFFFFF"/>
        <w:spacing w:before="0" w:beforeAutospacing="0"/>
        <w:jc w:val="both"/>
        <w:rPr>
          <w:rFonts w:asciiTheme="minorHAnsi" w:hAnsiTheme="minorHAnsi" w:cstheme="minorHAnsi"/>
          <w:sz w:val="22"/>
          <w:szCs w:val="22"/>
        </w:rPr>
      </w:pPr>
      <w:proofErr w:type="spellStart"/>
      <w:r>
        <w:rPr>
          <w:rFonts w:asciiTheme="minorHAnsi" w:hAnsiTheme="minorHAnsi" w:cstheme="minorHAnsi"/>
          <w:sz w:val="22"/>
          <w:szCs w:val="22"/>
        </w:rPr>
        <w:t>Kluskap</w:t>
      </w:r>
      <w:proofErr w:type="spellEnd"/>
      <w:r>
        <w:rPr>
          <w:rFonts w:asciiTheme="minorHAnsi" w:hAnsiTheme="minorHAnsi" w:cstheme="minorHAnsi"/>
          <w:sz w:val="22"/>
          <w:szCs w:val="22"/>
        </w:rPr>
        <w:t xml:space="preserve"> Ridge RV Park and Campground</w:t>
      </w:r>
    </w:p>
    <w:p w14:paraId="42B2E2B0" w14:textId="2218CA10" w:rsidR="001761CF" w:rsidRDefault="00000000" w:rsidP="001761CF">
      <w:pPr>
        <w:pStyle w:val="NormalWeb"/>
        <w:shd w:val="clear" w:color="auto" w:fill="FFFFFF"/>
        <w:spacing w:before="0" w:beforeAutospacing="0"/>
        <w:ind w:left="720"/>
        <w:jc w:val="both"/>
        <w:rPr>
          <w:rFonts w:asciiTheme="minorHAnsi" w:hAnsiTheme="minorHAnsi" w:cstheme="minorHAnsi"/>
          <w:sz w:val="22"/>
          <w:szCs w:val="22"/>
        </w:rPr>
      </w:pPr>
      <w:hyperlink r:id="rId15" w:history="1">
        <w:r w:rsidR="001761CF" w:rsidRPr="00882699">
          <w:rPr>
            <w:rStyle w:val="Hyperlink"/>
            <w:rFonts w:asciiTheme="minorHAnsi" w:hAnsiTheme="minorHAnsi" w:cstheme="minorHAnsi"/>
            <w:sz w:val="22"/>
            <w:szCs w:val="22"/>
          </w:rPr>
          <w:t>https://www.kluskapridge.ca/</w:t>
        </w:r>
      </w:hyperlink>
    </w:p>
    <w:p w14:paraId="36CCD0D0" w14:textId="29CD43E8" w:rsidR="001761CF" w:rsidRDefault="001761CF" w:rsidP="001761CF">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proofErr w:type="spellStart"/>
      <w:r w:rsidRPr="001761CF">
        <w:rPr>
          <w:rFonts w:asciiTheme="minorHAnsi" w:hAnsiTheme="minorHAnsi" w:cstheme="minorHAnsi"/>
          <w:sz w:val="22"/>
          <w:szCs w:val="22"/>
          <w:shd w:val="clear" w:color="auto" w:fill="FFFFFF"/>
        </w:rPr>
        <w:t>Kluskap</w:t>
      </w:r>
      <w:proofErr w:type="spellEnd"/>
      <w:r w:rsidRPr="001761CF">
        <w:rPr>
          <w:rFonts w:asciiTheme="minorHAnsi" w:hAnsiTheme="minorHAnsi" w:cstheme="minorHAnsi"/>
          <w:sz w:val="22"/>
          <w:szCs w:val="22"/>
          <w:shd w:val="clear" w:color="auto" w:fill="FFFFFF"/>
        </w:rPr>
        <w:t xml:space="preserve"> RV Park and Campground, owned and operated by members of Membertou First Nation, offers seasonal accommodations. Explore pristine nature overlooking St. Ann’s Bay from the campground's Englishtown location and experience a range of outdoor activities, cultural activities, and pottery and leather works with an expert</w:t>
      </w:r>
      <w:r>
        <w:rPr>
          <w:rFonts w:asciiTheme="minorHAnsi" w:hAnsiTheme="minorHAnsi" w:cstheme="minorHAnsi"/>
          <w:sz w:val="22"/>
          <w:szCs w:val="22"/>
          <w:shd w:val="clear" w:color="auto" w:fill="FFFFFF"/>
        </w:rPr>
        <w:t>.</w:t>
      </w:r>
    </w:p>
    <w:p w14:paraId="31E33DA4" w14:textId="0CD893CB" w:rsidR="001761CF" w:rsidRDefault="001761CF" w:rsidP="001761CF">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lastRenderedPageBreak/>
        <w:t>Millbrook Cultural &amp; Heritage Centre</w:t>
      </w:r>
    </w:p>
    <w:p w14:paraId="0AF70756" w14:textId="56575260" w:rsidR="001761CF" w:rsidRDefault="00000000" w:rsidP="001761CF">
      <w:pPr>
        <w:pStyle w:val="NormalWeb"/>
        <w:shd w:val="clear" w:color="auto" w:fill="FFFFFF"/>
        <w:spacing w:before="0" w:beforeAutospacing="0"/>
        <w:ind w:left="720"/>
        <w:jc w:val="both"/>
        <w:rPr>
          <w:rFonts w:asciiTheme="minorHAnsi" w:hAnsiTheme="minorHAnsi" w:cstheme="minorHAnsi"/>
          <w:sz w:val="22"/>
          <w:szCs w:val="22"/>
        </w:rPr>
      </w:pPr>
      <w:hyperlink r:id="rId16" w:history="1">
        <w:r w:rsidR="001761CF" w:rsidRPr="00882699">
          <w:rPr>
            <w:rStyle w:val="Hyperlink"/>
            <w:rFonts w:asciiTheme="minorHAnsi" w:hAnsiTheme="minorHAnsi" w:cstheme="minorHAnsi"/>
            <w:sz w:val="22"/>
            <w:szCs w:val="22"/>
          </w:rPr>
          <w:t>https://www.millbrookheritagecentre.ca/</w:t>
        </w:r>
      </w:hyperlink>
    </w:p>
    <w:p w14:paraId="31F48617" w14:textId="44E0F526" w:rsidR="001761CF" w:rsidRDefault="001761CF" w:rsidP="001761CF">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1761CF">
        <w:rPr>
          <w:rFonts w:asciiTheme="minorHAnsi" w:hAnsiTheme="minorHAnsi" w:cstheme="minorHAnsi"/>
          <w:sz w:val="22"/>
          <w:szCs w:val="22"/>
          <w:shd w:val="clear" w:color="auto" w:fill="FFFFFF"/>
        </w:rPr>
        <w:t xml:space="preserve">Through guided tours, multi-media presentations, and hands-on activities at the cultural centre, learn about the legendary </w:t>
      </w:r>
      <w:proofErr w:type="spellStart"/>
      <w:r w:rsidRPr="001761CF">
        <w:rPr>
          <w:rFonts w:asciiTheme="minorHAnsi" w:hAnsiTheme="minorHAnsi" w:cstheme="minorHAnsi"/>
          <w:sz w:val="22"/>
          <w:szCs w:val="22"/>
          <w:shd w:val="clear" w:color="auto" w:fill="FFFFFF"/>
        </w:rPr>
        <w:t>Kluskap</w:t>
      </w:r>
      <w:proofErr w:type="spellEnd"/>
      <w:r w:rsidRPr="001761CF">
        <w:rPr>
          <w:rFonts w:asciiTheme="minorHAnsi" w:hAnsiTheme="minorHAnsi" w:cstheme="minorHAnsi"/>
          <w:sz w:val="22"/>
          <w:szCs w:val="22"/>
          <w:shd w:val="clear" w:color="auto" w:fill="FFFFFF"/>
        </w:rPr>
        <w:t xml:space="preserve"> and the Mi’kmaw way of life. See artifacts that date back 7,500 years and learn about Indigenous history and culture in the surrounding area from knowledgeable guides.</w:t>
      </w:r>
    </w:p>
    <w:p w14:paraId="288B3271" w14:textId="3A06A5BB" w:rsidR="001761CF" w:rsidRDefault="001761CF" w:rsidP="001761CF">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Museum of Natural History</w:t>
      </w:r>
    </w:p>
    <w:p w14:paraId="1DACFC04" w14:textId="17BAFB79" w:rsidR="001761CF" w:rsidRDefault="00000000" w:rsidP="001761CF">
      <w:pPr>
        <w:pStyle w:val="NormalWeb"/>
        <w:shd w:val="clear" w:color="auto" w:fill="FFFFFF"/>
        <w:spacing w:before="0" w:beforeAutospacing="0"/>
        <w:ind w:left="720"/>
        <w:jc w:val="both"/>
        <w:rPr>
          <w:rFonts w:asciiTheme="minorHAnsi" w:hAnsiTheme="minorHAnsi" w:cstheme="minorHAnsi"/>
          <w:sz w:val="22"/>
          <w:szCs w:val="22"/>
        </w:rPr>
      </w:pPr>
      <w:hyperlink r:id="rId17" w:history="1">
        <w:r w:rsidR="001761CF" w:rsidRPr="00882699">
          <w:rPr>
            <w:rStyle w:val="Hyperlink"/>
            <w:rFonts w:asciiTheme="minorHAnsi" w:hAnsiTheme="minorHAnsi" w:cstheme="minorHAnsi"/>
            <w:sz w:val="22"/>
            <w:szCs w:val="22"/>
          </w:rPr>
          <w:t>https://naturalhistory.novascotia.ca/</w:t>
        </w:r>
      </w:hyperlink>
    </w:p>
    <w:p w14:paraId="44FF4089" w14:textId="15816B37" w:rsidR="001761CF" w:rsidRDefault="008674C3" w:rsidP="001761CF">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8674C3">
        <w:rPr>
          <w:rFonts w:asciiTheme="minorHAnsi" w:hAnsiTheme="minorHAnsi" w:cstheme="minorHAnsi"/>
          <w:sz w:val="22"/>
          <w:szCs w:val="22"/>
          <w:shd w:val="clear" w:color="auto" w:fill="FFFFFF"/>
        </w:rPr>
        <w:t>A permanent exhibit at the Museum of Natural History highlights the origins of the Mi’kmaq, their artistry, and way of life. Many stunning artifacts are on display, including samples of woven baskets, quillwork, and beadwork, as well as tools and materials used in daily life such as birch bark, wood, and stone.</w:t>
      </w:r>
    </w:p>
    <w:p w14:paraId="515B2754" w14:textId="52909DF0" w:rsidR="008674C3" w:rsidRDefault="008674C3" w:rsidP="008674C3">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Port-Royal National Historic Site</w:t>
      </w:r>
    </w:p>
    <w:p w14:paraId="769D00B1" w14:textId="69C72897" w:rsidR="008674C3" w:rsidRDefault="00000000" w:rsidP="008674C3">
      <w:pPr>
        <w:pStyle w:val="NormalWeb"/>
        <w:shd w:val="clear" w:color="auto" w:fill="FFFFFF"/>
        <w:spacing w:before="0" w:beforeAutospacing="0"/>
        <w:ind w:left="720"/>
        <w:jc w:val="both"/>
        <w:rPr>
          <w:rFonts w:asciiTheme="minorHAnsi" w:hAnsiTheme="minorHAnsi" w:cstheme="minorHAnsi"/>
          <w:sz w:val="22"/>
          <w:szCs w:val="22"/>
        </w:rPr>
      </w:pPr>
      <w:hyperlink r:id="rId18" w:history="1">
        <w:r w:rsidR="008674C3" w:rsidRPr="00882699">
          <w:rPr>
            <w:rStyle w:val="Hyperlink"/>
            <w:rFonts w:asciiTheme="minorHAnsi" w:hAnsiTheme="minorHAnsi" w:cstheme="minorHAnsi"/>
            <w:sz w:val="22"/>
            <w:szCs w:val="22"/>
          </w:rPr>
          <w:t>https://parks.canada.ca/lhn-nhs/ns/portroyal</w:t>
        </w:r>
      </w:hyperlink>
    </w:p>
    <w:p w14:paraId="478E4CD6" w14:textId="66C8ECDF" w:rsidR="008674C3" w:rsidRDefault="008674C3" w:rsidP="008674C3">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8674C3">
        <w:rPr>
          <w:rFonts w:asciiTheme="minorHAnsi" w:hAnsiTheme="minorHAnsi" w:cstheme="minorHAnsi"/>
          <w:sz w:val="22"/>
          <w:szCs w:val="22"/>
          <w:shd w:val="clear" w:color="auto" w:fill="FFFFFF"/>
        </w:rPr>
        <w:t>Discover Mi’kmaw culture at Port-Royal National Historic Site</w:t>
      </w:r>
      <w:r>
        <w:rPr>
          <w:rFonts w:asciiTheme="minorHAnsi" w:hAnsiTheme="minorHAnsi" w:cstheme="minorHAnsi"/>
          <w:sz w:val="22"/>
          <w:szCs w:val="22"/>
          <w:shd w:val="clear" w:color="auto" w:fill="FFFFFF"/>
        </w:rPr>
        <w:t xml:space="preserve"> where you can v</w:t>
      </w:r>
      <w:r w:rsidRPr="008674C3">
        <w:rPr>
          <w:rFonts w:asciiTheme="minorHAnsi" w:hAnsiTheme="minorHAnsi" w:cstheme="minorHAnsi"/>
          <w:sz w:val="22"/>
          <w:szCs w:val="22"/>
          <w:shd w:val="clear" w:color="auto" w:fill="FFFFFF"/>
        </w:rPr>
        <w:t xml:space="preserve">isit a wigwam, try your hand at drumming, or play the traditional game of </w:t>
      </w:r>
      <w:proofErr w:type="spellStart"/>
      <w:r w:rsidRPr="008674C3">
        <w:rPr>
          <w:rFonts w:asciiTheme="minorHAnsi" w:hAnsiTheme="minorHAnsi" w:cstheme="minorHAnsi"/>
          <w:sz w:val="22"/>
          <w:szCs w:val="22"/>
          <w:shd w:val="clear" w:color="auto" w:fill="FFFFFF"/>
        </w:rPr>
        <w:t>waltes</w:t>
      </w:r>
      <w:proofErr w:type="spellEnd"/>
      <w:r w:rsidRPr="008674C3">
        <w:rPr>
          <w:rFonts w:asciiTheme="minorHAnsi" w:hAnsiTheme="minorHAnsi" w:cstheme="minorHAnsi"/>
          <w:sz w:val="22"/>
          <w:szCs w:val="22"/>
          <w:shd w:val="clear" w:color="auto" w:fill="FFFFFF"/>
        </w:rPr>
        <w:t>.</w:t>
      </w:r>
    </w:p>
    <w:p w14:paraId="41423D2C" w14:textId="77777777" w:rsidR="003263BC" w:rsidRDefault="003263BC" w:rsidP="003263BC">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 xml:space="preserve">Mi’kmaw Interpretive Centre at Fortress of </w:t>
      </w:r>
      <w:proofErr w:type="spellStart"/>
      <w:r>
        <w:rPr>
          <w:rFonts w:asciiTheme="minorHAnsi" w:hAnsiTheme="minorHAnsi" w:cstheme="minorHAnsi"/>
          <w:sz w:val="22"/>
          <w:szCs w:val="22"/>
        </w:rPr>
        <w:t>Louisbourg</w:t>
      </w:r>
      <w:proofErr w:type="spellEnd"/>
    </w:p>
    <w:p w14:paraId="3B8AD55E" w14:textId="4E9A4408" w:rsidR="003263BC" w:rsidRDefault="00000000" w:rsidP="003263BC">
      <w:pPr>
        <w:pStyle w:val="NormalWeb"/>
        <w:shd w:val="clear" w:color="auto" w:fill="FFFFFF"/>
        <w:spacing w:before="0" w:beforeAutospacing="0"/>
        <w:ind w:left="720"/>
        <w:jc w:val="both"/>
        <w:rPr>
          <w:rFonts w:asciiTheme="minorHAnsi" w:hAnsiTheme="minorHAnsi" w:cstheme="minorHAnsi"/>
          <w:sz w:val="22"/>
          <w:szCs w:val="22"/>
        </w:rPr>
      </w:pPr>
      <w:hyperlink r:id="rId19" w:history="1">
        <w:r w:rsidR="003263BC" w:rsidRPr="00882699">
          <w:rPr>
            <w:rStyle w:val="Hyperlink"/>
            <w:rFonts w:asciiTheme="minorHAnsi" w:hAnsiTheme="minorHAnsi" w:cstheme="minorHAnsi"/>
            <w:sz w:val="22"/>
            <w:szCs w:val="22"/>
          </w:rPr>
          <w:t>https://parks.canada.ca/lhn-nhs/ns/louisbourg/activ/autochtone-indigenous</w:t>
        </w:r>
      </w:hyperlink>
    </w:p>
    <w:p w14:paraId="1346AD44" w14:textId="2523965E" w:rsidR="003263BC" w:rsidRDefault="003263BC" w:rsidP="003263BC">
      <w:pPr>
        <w:pStyle w:val="NormalWeb"/>
        <w:shd w:val="clear" w:color="auto" w:fill="FFFFFF"/>
        <w:spacing w:before="0" w:beforeAutospacing="0"/>
        <w:ind w:left="720"/>
        <w:jc w:val="both"/>
        <w:rPr>
          <w:rFonts w:asciiTheme="minorHAnsi" w:hAnsiTheme="minorHAnsi" w:cstheme="minorHAnsi"/>
          <w:sz w:val="22"/>
          <w:szCs w:val="22"/>
        </w:rPr>
      </w:pPr>
      <w:r w:rsidRPr="003263BC">
        <w:rPr>
          <w:rFonts w:asciiTheme="minorHAnsi" w:hAnsiTheme="minorHAnsi" w:cstheme="minorHAnsi"/>
          <w:sz w:val="22"/>
          <w:szCs w:val="22"/>
          <w:shd w:val="clear" w:color="auto" w:fill="FFFFFF"/>
        </w:rPr>
        <w:t xml:space="preserve">The Mi’kmaw Interpretive Centre at the Fortress of </w:t>
      </w:r>
      <w:proofErr w:type="spellStart"/>
      <w:r w:rsidRPr="003263BC">
        <w:rPr>
          <w:rFonts w:asciiTheme="minorHAnsi" w:hAnsiTheme="minorHAnsi" w:cstheme="minorHAnsi"/>
          <w:sz w:val="22"/>
          <w:szCs w:val="22"/>
          <w:shd w:val="clear" w:color="auto" w:fill="FFFFFF"/>
        </w:rPr>
        <w:t>Louisbourg</w:t>
      </w:r>
      <w:proofErr w:type="spellEnd"/>
      <w:r w:rsidRPr="003263BC">
        <w:rPr>
          <w:rFonts w:asciiTheme="minorHAnsi" w:hAnsiTheme="minorHAnsi" w:cstheme="minorHAnsi"/>
          <w:sz w:val="22"/>
          <w:szCs w:val="22"/>
          <w:shd w:val="clear" w:color="auto" w:fill="FFFFFF"/>
        </w:rPr>
        <w:t xml:space="preserve"> connects you with Mi’kmaw history through interpreters, images, artifacts, songs, traditional drumming, and storytelling.</w:t>
      </w:r>
      <w:r w:rsidRPr="003263BC">
        <w:rPr>
          <w:rFonts w:asciiTheme="minorHAnsi" w:hAnsiTheme="minorHAnsi" w:cstheme="minorHAnsi"/>
          <w:sz w:val="22"/>
          <w:szCs w:val="22"/>
        </w:rPr>
        <w:t xml:space="preserve"> </w:t>
      </w:r>
    </w:p>
    <w:p w14:paraId="62F73C7E" w14:textId="7F80A349" w:rsidR="00547B1D" w:rsidRDefault="00150C05" w:rsidP="00150C05">
      <w:pPr>
        <w:pStyle w:val="NormalWeb"/>
        <w:numPr>
          <w:ilvl w:val="0"/>
          <w:numId w:val="1"/>
        </w:numPr>
        <w:shd w:val="clear" w:color="auto" w:fill="FFFFFF"/>
        <w:spacing w:before="0" w:beforeAutospacing="0"/>
        <w:jc w:val="both"/>
        <w:rPr>
          <w:rFonts w:asciiTheme="minorHAnsi" w:hAnsiTheme="minorHAnsi" w:cstheme="minorHAnsi"/>
          <w:sz w:val="22"/>
          <w:szCs w:val="22"/>
        </w:rPr>
      </w:pPr>
      <w:proofErr w:type="spellStart"/>
      <w:r>
        <w:rPr>
          <w:rFonts w:asciiTheme="minorHAnsi" w:hAnsiTheme="minorHAnsi" w:cstheme="minorHAnsi"/>
          <w:sz w:val="22"/>
          <w:szCs w:val="22"/>
        </w:rPr>
        <w:t>Mi’kmawey</w:t>
      </w:r>
      <w:proofErr w:type="spellEnd"/>
      <w:r>
        <w:rPr>
          <w:rFonts w:asciiTheme="minorHAnsi" w:hAnsiTheme="minorHAnsi" w:cstheme="minorHAnsi"/>
          <w:sz w:val="22"/>
          <w:szCs w:val="22"/>
        </w:rPr>
        <w:t xml:space="preserve"> Debert Cultural Centre</w:t>
      </w:r>
    </w:p>
    <w:p w14:paraId="25E2B216" w14:textId="0A78C7A7" w:rsidR="00150C05" w:rsidRDefault="00000000" w:rsidP="00150C05">
      <w:pPr>
        <w:pStyle w:val="NormalWeb"/>
        <w:shd w:val="clear" w:color="auto" w:fill="FFFFFF"/>
        <w:spacing w:before="0" w:beforeAutospacing="0"/>
        <w:ind w:left="720"/>
        <w:jc w:val="both"/>
        <w:rPr>
          <w:rFonts w:asciiTheme="minorHAnsi" w:hAnsiTheme="minorHAnsi" w:cstheme="minorHAnsi"/>
          <w:sz w:val="22"/>
          <w:szCs w:val="22"/>
        </w:rPr>
      </w:pPr>
      <w:hyperlink r:id="rId20" w:history="1">
        <w:r w:rsidR="00150C05" w:rsidRPr="00882699">
          <w:rPr>
            <w:rStyle w:val="Hyperlink"/>
            <w:rFonts w:asciiTheme="minorHAnsi" w:hAnsiTheme="minorHAnsi" w:cstheme="minorHAnsi"/>
            <w:sz w:val="22"/>
            <w:szCs w:val="22"/>
          </w:rPr>
          <w:t>https://www.mikmaweydebert.ca/</w:t>
        </w:r>
      </w:hyperlink>
    </w:p>
    <w:p w14:paraId="7C108838" w14:textId="44E49839" w:rsidR="00150C05" w:rsidRDefault="00150C05" w:rsidP="0027782E">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150C05">
        <w:rPr>
          <w:rFonts w:asciiTheme="minorHAnsi" w:hAnsiTheme="minorHAnsi" w:cstheme="minorHAnsi"/>
          <w:sz w:val="22"/>
          <w:szCs w:val="22"/>
          <w:shd w:val="clear" w:color="auto" w:fill="FFFFFF"/>
        </w:rPr>
        <w:t xml:space="preserve">The </w:t>
      </w:r>
      <w:proofErr w:type="spellStart"/>
      <w:r w:rsidRPr="00150C05">
        <w:rPr>
          <w:rFonts w:asciiTheme="minorHAnsi" w:hAnsiTheme="minorHAnsi" w:cstheme="minorHAnsi"/>
          <w:sz w:val="22"/>
          <w:szCs w:val="22"/>
          <w:shd w:val="clear" w:color="auto" w:fill="FFFFFF"/>
        </w:rPr>
        <w:t>Mi’kmawey</w:t>
      </w:r>
      <w:proofErr w:type="spellEnd"/>
      <w:r w:rsidRPr="00150C05">
        <w:rPr>
          <w:rFonts w:asciiTheme="minorHAnsi" w:hAnsiTheme="minorHAnsi" w:cstheme="minorHAnsi"/>
          <w:sz w:val="22"/>
          <w:szCs w:val="22"/>
          <w:shd w:val="clear" w:color="auto" w:fill="FFFFFF"/>
        </w:rPr>
        <w:t xml:space="preserve"> Debert Cultural Centre will be a meaningful and dynamic centre for Mi’kmaw people, and for visitors from across Nova Scotia, Canada, and the world. Currently in the planning stages, the Centre will be built in Debert, Nova Scotia.</w:t>
      </w:r>
    </w:p>
    <w:p w14:paraId="639A8B35" w14:textId="77777777" w:rsidR="0027782E" w:rsidRDefault="0027782E" w:rsidP="00421AC0">
      <w:pPr>
        <w:pStyle w:val="NormalWeb"/>
        <w:shd w:val="clear" w:color="auto" w:fill="FFFFFF"/>
        <w:spacing w:before="0" w:beforeAutospacing="0"/>
        <w:jc w:val="both"/>
        <w:rPr>
          <w:rFonts w:asciiTheme="minorHAnsi" w:hAnsiTheme="minorHAnsi" w:cstheme="minorHAnsi"/>
          <w:b/>
          <w:bCs/>
          <w:sz w:val="28"/>
          <w:szCs w:val="28"/>
          <w:u w:val="single"/>
          <w:shd w:val="clear" w:color="auto" w:fill="FFFFFF"/>
        </w:rPr>
      </w:pPr>
    </w:p>
    <w:p w14:paraId="0F05EF39" w14:textId="77777777" w:rsidR="0027782E" w:rsidRDefault="0027782E" w:rsidP="00421AC0">
      <w:pPr>
        <w:pStyle w:val="NormalWeb"/>
        <w:shd w:val="clear" w:color="auto" w:fill="FFFFFF"/>
        <w:spacing w:before="0" w:beforeAutospacing="0"/>
        <w:jc w:val="both"/>
        <w:rPr>
          <w:rFonts w:asciiTheme="minorHAnsi" w:hAnsiTheme="minorHAnsi" w:cstheme="minorHAnsi"/>
          <w:b/>
          <w:bCs/>
          <w:sz w:val="28"/>
          <w:szCs w:val="28"/>
          <w:u w:val="single"/>
          <w:shd w:val="clear" w:color="auto" w:fill="FFFFFF"/>
        </w:rPr>
      </w:pPr>
    </w:p>
    <w:p w14:paraId="18209DFB" w14:textId="77777777" w:rsidR="0027782E" w:rsidRDefault="0027782E" w:rsidP="00421AC0">
      <w:pPr>
        <w:pStyle w:val="NormalWeb"/>
        <w:shd w:val="clear" w:color="auto" w:fill="FFFFFF"/>
        <w:spacing w:before="0" w:beforeAutospacing="0"/>
        <w:jc w:val="both"/>
        <w:rPr>
          <w:rFonts w:asciiTheme="minorHAnsi" w:hAnsiTheme="minorHAnsi" w:cstheme="minorHAnsi"/>
          <w:b/>
          <w:bCs/>
          <w:sz w:val="28"/>
          <w:szCs w:val="28"/>
          <w:u w:val="single"/>
          <w:shd w:val="clear" w:color="auto" w:fill="FFFFFF"/>
        </w:rPr>
      </w:pPr>
    </w:p>
    <w:p w14:paraId="5DBE1BFA" w14:textId="71B71800" w:rsidR="00421AC0" w:rsidRPr="00E53A88" w:rsidRDefault="00421AC0" w:rsidP="00421AC0">
      <w:pPr>
        <w:pStyle w:val="NormalWeb"/>
        <w:shd w:val="clear" w:color="auto" w:fill="FFFFFF"/>
        <w:spacing w:before="0" w:beforeAutospacing="0"/>
        <w:jc w:val="both"/>
        <w:rPr>
          <w:rFonts w:asciiTheme="minorHAnsi" w:hAnsiTheme="minorHAnsi" w:cstheme="minorHAnsi"/>
          <w:b/>
          <w:bCs/>
          <w:sz w:val="32"/>
          <w:szCs w:val="32"/>
          <w:u w:val="single"/>
          <w:shd w:val="clear" w:color="auto" w:fill="FFFFFF"/>
        </w:rPr>
      </w:pPr>
      <w:r w:rsidRPr="00E53A88">
        <w:rPr>
          <w:rFonts w:asciiTheme="minorHAnsi" w:hAnsiTheme="minorHAnsi" w:cstheme="minorHAnsi"/>
          <w:b/>
          <w:bCs/>
          <w:sz w:val="32"/>
          <w:szCs w:val="32"/>
          <w:u w:val="single"/>
          <w:shd w:val="clear" w:color="auto" w:fill="FFFFFF"/>
        </w:rPr>
        <w:lastRenderedPageBreak/>
        <w:t>Resources</w:t>
      </w:r>
    </w:p>
    <w:p w14:paraId="5BCEE8B2" w14:textId="46CD64DB" w:rsidR="00150C05" w:rsidRDefault="008C5070" w:rsidP="00150C05">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Mi’kmaq Rights Initiative – Cultural Tourism Department</w:t>
      </w:r>
    </w:p>
    <w:p w14:paraId="72CA69E6" w14:textId="045089F8" w:rsidR="008C5070" w:rsidRDefault="00000000" w:rsidP="008C5070">
      <w:pPr>
        <w:pStyle w:val="NormalWeb"/>
        <w:shd w:val="clear" w:color="auto" w:fill="FFFFFF"/>
        <w:spacing w:before="0" w:beforeAutospacing="0"/>
        <w:ind w:left="720"/>
        <w:jc w:val="both"/>
        <w:rPr>
          <w:rFonts w:asciiTheme="minorHAnsi" w:hAnsiTheme="minorHAnsi" w:cstheme="minorHAnsi"/>
          <w:sz w:val="22"/>
          <w:szCs w:val="22"/>
        </w:rPr>
      </w:pPr>
      <w:hyperlink r:id="rId21" w:history="1">
        <w:r w:rsidR="008C5070" w:rsidRPr="00882699">
          <w:rPr>
            <w:rStyle w:val="Hyperlink"/>
            <w:rFonts w:asciiTheme="minorHAnsi" w:hAnsiTheme="minorHAnsi" w:cstheme="minorHAnsi"/>
            <w:sz w:val="22"/>
            <w:szCs w:val="22"/>
          </w:rPr>
          <w:t>https://mikmaqrights.com/?cat=32</w:t>
        </w:r>
      </w:hyperlink>
    </w:p>
    <w:p w14:paraId="3CEFF08B" w14:textId="663B6BBD" w:rsidR="008C5070" w:rsidRDefault="008C5070" w:rsidP="008C5070">
      <w:pPr>
        <w:pStyle w:val="NormalWeb"/>
        <w:shd w:val="clear" w:color="auto" w:fill="FFFFFF"/>
        <w:spacing w:before="0" w:beforeAutospacing="0"/>
        <w:ind w:left="720"/>
        <w:jc w:val="both"/>
        <w:rPr>
          <w:rFonts w:asciiTheme="minorHAnsi" w:hAnsiTheme="minorHAnsi" w:cstheme="minorHAnsi"/>
          <w:sz w:val="22"/>
          <w:szCs w:val="22"/>
        </w:rPr>
      </w:pPr>
      <w:r>
        <w:rPr>
          <w:rFonts w:asciiTheme="minorHAnsi" w:hAnsiTheme="minorHAnsi" w:cstheme="minorHAnsi"/>
          <w:sz w:val="22"/>
          <w:szCs w:val="22"/>
        </w:rPr>
        <w:t>A collection of articles pertaining to Mi’kmaw cultural tourism. Topics include ‘An Introduction to Intellectual Property Rights’ and ‘Developing an Authentic Mi’kmaw Brand’ among others.</w:t>
      </w:r>
    </w:p>
    <w:p w14:paraId="494FCD85" w14:textId="6E396D8E" w:rsidR="00A071A0" w:rsidRDefault="00A071A0" w:rsidP="00A071A0">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Impact Organizations of Nova Scotia</w:t>
      </w:r>
    </w:p>
    <w:p w14:paraId="4EFAEB19" w14:textId="53087C24" w:rsidR="00A071A0" w:rsidRDefault="00000000" w:rsidP="00A071A0">
      <w:pPr>
        <w:pStyle w:val="NormalWeb"/>
        <w:shd w:val="clear" w:color="auto" w:fill="FFFFFF"/>
        <w:spacing w:before="0" w:beforeAutospacing="0"/>
        <w:ind w:left="720"/>
        <w:jc w:val="both"/>
        <w:rPr>
          <w:rFonts w:asciiTheme="minorHAnsi" w:hAnsiTheme="minorHAnsi" w:cstheme="minorHAnsi"/>
          <w:sz w:val="22"/>
          <w:szCs w:val="22"/>
        </w:rPr>
      </w:pPr>
      <w:hyperlink r:id="rId22" w:history="1">
        <w:r w:rsidR="00A071A0" w:rsidRPr="005C4C63">
          <w:rPr>
            <w:rStyle w:val="Hyperlink"/>
            <w:rFonts w:asciiTheme="minorHAnsi" w:hAnsiTheme="minorHAnsi" w:cstheme="minorHAnsi"/>
            <w:sz w:val="22"/>
            <w:szCs w:val="22"/>
          </w:rPr>
          <w:t>https://ions.ca/decolonization-resources/</w:t>
        </w:r>
      </w:hyperlink>
    </w:p>
    <w:p w14:paraId="22F1B945" w14:textId="2839F4BA" w:rsidR="00A071A0" w:rsidRDefault="00A071A0" w:rsidP="00A071A0">
      <w:pPr>
        <w:pStyle w:val="NormalWeb"/>
        <w:shd w:val="clear" w:color="auto" w:fill="FFFFFF"/>
        <w:spacing w:before="0" w:beforeAutospacing="0"/>
        <w:ind w:left="720"/>
        <w:jc w:val="both"/>
        <w:rPr>
          <w:rFonts w:asciiTheme="minorHAnsi" w:hAnsiTheme="minorHAnsi" w:cstheme="minorHAnsi"/>
          <w:sz w:val="22"/>
          <w:szCs w:val="22"/>
        </w:rPr>
      </w:pPr>
      <w:r>
        <w:rPr>
          <w:rFonts w:asciiTheme="minorHAnsi" w:hAnsiTheme="minorHAnsi" w:cstheme="minorHAnsi"/>
          <w:sz w:val="22"/>
          <w:szCs w:val="22"/>
        </w:rPr>
        <w:t xml:space="preserve">This organization has compiled webinars with various topics on decolonization presented by Mi’kmaw knowledge keepers. Tops include “Considerations when Working with Indigenous Communities.” </w:t>
      </w:r>
    </w:p>
    <w:p w14:paraId="6B7E9F4B" w14:textId="297A901D" w:rsidR="00A071A0" w:rsidRDefault="00A071A0" w:rsidP="00A071A0">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Leaning from Knowledge Keepers: Lecture Videos from CBU</w:t>
      </w:r>
    </w:p>
    <w:p w14:paraId="76358963" w14:textId="7AF13144" w:rsidR="00A071A0" w:rsidRDefault="00000000" w:rsidP="00A071A0">
      <w:pPr>
        <w:pStyle w:val="NormalWeb"/>
        <w:shd w:val="clear" w:color="auto" w:fill="FFFFFF"/>
        <w:spacing w:before="0" w:beforeAutospacing="0"/>
        <w:ind w:left="720"/>
        <w:jc w:val="both"/>
        <w:rPr>
          <w:rFonts w:asciiTheme="minorHAnsi" w:hAnsiTheme="minorHAnsi" w:cstheme="minorHAnsi"/>
          <w:sz w:val="22"/>
          <w:szCs w:val="22"/>
        </w:rPr>
      </w:pPr>
      <w:hyperlink r:id="rId23" w:history="1">
        <w:r w:rsidR="00A071A0" w:rsidRPr="005C4C63">
          <w:rPr>
            <w:rStyle w:val="Hyperlink"/>
            <w:rFonts w:asciiTheme="minorHAnsi" w:hAnsiTheme="minorHAnsi" w:cstheme="minorHAnsi"/>
            <w:sz w:val="22"/>
            <w:szCs w:val="22"/>
          </w:rPr>
          <w:t>https://vimeo.com/showcase/4376432</w:t>
        </w:r>
      </w:hyperlink>
    </w:p>
    <w:p w14:paraId="61CA47A3" w14:textId="3F2CBD26" w:rsidR="00A071A0" w:rsidRDefault="00A071A0" w:rsidP="00A071A0">
      <w:pPr>
        <w:pStyle w:val="NormalWeb"/>
        <w:shd w:val="clear" w:color="auto" w:fill="FFFFFF"/>
        <w:spacing w:before="0" w:beforeAutospacing="0"/>
        <w:ind w:left="720"/>
        <w:jc w:val="both"/>
        <w:rPr>
          <w:rFonts w:asciiTheme="minorHAnsi" w:hAnsiTheme="minorHAnsi" w:cstheme="minorHAnsi"/>
          <w:color w:val="000000"/>
          <w:sz w:val="22"/>
          <w:szCs w:val="22"/>
          <w:shd w:val="clear" w:color="auto" w:fill="FFFFFF"/>
        </w:rPr>
      </w:pPr>
      <w:r w:rsidRPr="00A071A0">
        <w:rPr>
          <w:rStyle w:val="Strong"/>
          <w:rFonts w:asciiTheme="minorHAnsi" w:hAnsiTheme="minorHAnsi" w:cstheme="minorHAnsi"/>
          <w:color w:val="333333"/>
          <w:sz w:val="22"/>
          <w:szCs w:val="22"/>
          <w:shd w:val="clear" w:color="auto" w:fill="FFFFFF"/>
        </w:rPr>
        <w:t>Learning from Knowledge Keepers</w:t>
      </w:r>
      <w:r w:rsidRPr="00A071A0">
        <w:rPr>
          <w:rFonts w:asciiTheme="minorHAnsi" w:hAnsiTheme="minorHAnsi" w:cstheme="minorHAnsi"/>
          <w:color w:val="333333"/>
          <w:sz w:val="22"/>
          <w:szCs w:val="22"/>
          <w:shd w:val="clear" w:color="auto" w:fill="FFFFFF"/>
        </w:rPr>
        <w:t xml:space="preserve"> of </w:t>
      </w:r>
      <w:proofErr w:type="spellStart"/>
      <w:r w:rsidRPr="00A071A0">
        <w:rPr>
          <w:rFonts w:asciiTheme="minorHAnsi" w:hAnsiTheme="minorHAnsi" w:cstheme="minorHAnsi"/>
          <w:color w:val="333333"/>
          <w:sz w:val="22"/>
          <w:szCs w:val="22"/>
          <w:shd w:val="clear" w:color="auto" w:fill="FFFFFF"/>
        </w:rPr>
        <w:t>Mi’kma’ki</w:t>
      </w:r>
      <w:proofErr w:type="spellEnd"/>
      <w:r w:rsidRPr="00A071A0">
        <w:rPr>
          <w:rFonts w:asciiTheme="minorHAnsi" w:hAnsiTheme="minorHAnsi" w:cstheme="minorHAnsi"/>
          <w:color w:val="333333"/>
          <w:sz w:val="22"/>
          <w:szCs w:val="22"/>
          <w:shd w:val="clear" w:color="auto" w:fill="FFFFFF"/>
        </w:rPr>
        <w:t xml:space="preserve"> is Cape Breton University’s free, online, open-access Indigenous course </w:t>
      </w:r>
      <w:r w:rsidRPr="00A071A0">
        <w:rPr>
          <w:rFonts w:asciiTheme="minorHAnsi" w:hAnsiTheme="minorHAnsi" w:cstheme="minorHAnsi"/>
          <w:color w:val="000000"/>
          <w:sz w:val="22"/>
          <w:szCs w:val="22"/>
          <w:shd w:val="clear" w:color="auto" w:fill="FFFFFF"/>
        </w:rPr>
        <w:t xml:space="preserve">designed to share knowledge and intercultural dialogue. The course explores the rich history, culture, and wisdom of Indigenous peoples in </w:t>
      </w:r>
      <w:proofErr w:type="spellStart"/>
      <w:r w:rsidRPr="00A071A0">
        <w:rPr>
          <w:rFonts w:asciiTheme="minorHAnsi" w:hAnsiTheme="minorHAnsi" w:cstheme="minorHAnsi"/>
          <w:color w:val="000000"/>
          <w:sz w:val="22"/>
          <w:szCs w:val="22"/>
          <w:shd w:val="clear" w:color="auto" w:fill="FFFFFF"/>
        </w:rPr>
        <w:t>Mi’kma’ki</w:t>
      </w:r>
      <w:proofErr w:type="spellEnd"/>
      <w:r w:rsidRPr="00A071A0">
        <w:rPr>
          <w:rFonts w:asciiTheme="minorHAnsi" w:hAnsiTheme="minorHAnsi" w:cstheme="minorHAnsi"/>
          <w:color w:val="000000"/>
          <w:sz w:val="22"/>
          <w:szCs w:val="22"/>
          <w:shd w:val="clear" w:color="auto" w:fill="FFFFFF"/>
        </w:rPr>
        <w:t xml:space="preserve"> and across Canada.</w:t>
      </w:r>
    </w:p>
    <w:p w14:paraId="6D41FE57" w14:textId="07E2DF03" w:rsidR="003462CC" w:rsidRDefault="003462CC" w:rsidP="003462CC">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 xml:space="preserve">Mi’kmaw </w:t>
      </w:r>
      <w:proofErr w:type="spellStart"/>
      <w:r>
        <w:rPr>
          <w:rFonts w:asciiTheme="minorHAnsi" w:hAnsiTheme="minorHAnsi" w:cstheme="minorHAnsi"/>
          <w:sz w:val="22"/>
          <w:szCs w:val="22"/>
        </w:rPr>
        <w:t>Kina’matnewey</w:t>
      </w:r>
      <w:proofErr w:type="spellEnd"/>
    </w:p>
    <w:p w14:paraId="745FA530" w14:textId="14085B96" w:rsidR="003462CC" w:rsidRDefault="00000000" w:rsidP="003462CC">
      <w:pPr>
        <w:pStyle w:val="NormalWeb"/>
        <w:shd w:val="clear" w:color="auto" w:fill="FFFFFF"/>
        <w:spacing w:before="0" w:beforeAutospacing="0"/>
        <w:ind w:left="720"/>
        <w:jc w:val="both"/>
        <w:rPr>
          <w:rFonts w:asciiTheme="minorHAnsi" w:hAnsiTheme="minorHAnsi" w:cstheme="minorHAnsi"/>
          <w:sz w:val="22"/>
          <w:szCs w:val="22"/>
        </w:rPr>
      </w:pPr>
      <w:hyperlink r:id="rId24" w:history="1">
        <w:r w:rsidR="003462CC" w:rsidRPr="005C4C63">
          <w:rPr>
            <w:rStyle w:val="Hyperlink"/>
            <w:rFonts w:asciiTheme="minorHAnsi" w:hAnsiTheme="minorHAnsi" w:cstheme="minorHAnsi"/>
            <w:sz w:val="22"/>
            <w:szCs w:val="22"/>
          </w:rPr>
          <w:t>https://www.kinu.ca/resources</w:t>
        </w:r>
      </w:hyperlink>
    </w:p>
    <w:p w14:paraId="721EC620" w14:textId="7AB410D8" w:rsidR="003462CC" w:rsidRDefault="00B21358" w:rsidP="003462CC">
      <w:pPr>
        <w:pStyle w:val="NormalWeb"/>
        <w:shd w:val="clear" w:color="auto" w:fill="FFFFFF"/>
        <w:spacing w:before="0" w:beforeAutospacing="0"/>
        <w:ind w:left="720"/>
        <w:jc w:val="both"/>
        <w:rPr>
          <w:rFonts w:asciiTheme="minorHAnsi" w:hAnsiTheme="minorHAnsi" w:cstheme="minorHAnsi"/>
          <w:sz w:val="22"/>
          <w:szCs w:val="22"/>
          <w:shd w:val="clear" w:color="auto" w:fill="FCFCFC"/>
        </w:rPr>
      </w:pPr>
      <w:r w:rsidRPr="00B21358">
        <w:rPr>
          <w:rFonts w:asciiTheme="minorHAnsi" w:hAnsiTheme="minorHAnsi" w:cstheme="minorHAnsi"/>
          <w:sz w:val="22"/>
          <w:szCs w:val="22"/>
          <w:shd w:val="clear" w:color="auto" w:fill="FCFCFC"/>
        </w:rPr>
        <w:t>As the collective voice for Mi’kmaq education, the primary MK mission is to actively promote excellence in Mi’kmaq education, interests and rights for our communities and to facilitate the development of lifelong learning</w:t>
      </w:r>
      <w:r>
        <w:rPr>
          <w:rFonts w:asciiTheme="minorHAnsi" w:hAnsiTheme="minorHAnsi" w:cstheme="minorHAnsi"/>
          <w:sz w:val="22"/>
          <w:szCs w:val="22"/>
          <w:shd w:val="clear" w:color="auto" w:fill="FCFCFC"/>
        </w:rPr>
        <w:t>.</w:t>
      </w:r>
    </w:p>
    <w:p w14:paraId="6DAC6F78" w14:textId="595ABFC7" w:rsidR="00B21358" w:rsidRDefault="006316B6" w:rsidP="00B21358">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Nova Scotia Indigenous Tourism Enterprise Network</w:t>
      </w:r>
    </w:p>
    <w:p w14:paraId="790C899F" w14:textId="005EE4E9" w:rsidR="006316B6" w:rsidRDefault="00000000" w:rsidP="006316B6">
      <w:pPr>
        <w:pStyle w:val="NormalWeb"/>
        <w:shd w:val="clear" w:color="auto" w:fill="FFFFFF"/>
        <w:spacing w:before="0" w:beforeAutospacing="0"/>
        <w:ind w:left="720"/>
        <w:jc w:val="both"/>
        <w:rPr>
          <w:rFonts w:asciiTheme="minorHAnsi" w:hAnsiTheme="minorHAnsi" w:cstheme="minorHAnsi"/>
          <w:sz w:val="22"/>
          <w:szCs w:val="22"/>
        </w:rPr>
      </w:pPr>
      <w:hyperlink r:id="rId25" w:history="1">
        <w:r w:rsidR="006316B6" w:rsidRPr="002B0B68">
          <w:rPr>
            <w:rStyle w:val="Hyperlink"/>
            <w:rFonts w:asciiTheme="minorHAnsi" w:hAnsiTheme="minorHAnsi" w:cstheme="minorHAnsi"/>
            <w:sz w:val="22"/>
            <w:szCs w:val="22"/>
          </w:rPr>
          <w:t>https://www.nsiten.com/</w:t>
        </w:r>
      </w:hyperlink>
    </w:p>
    <w:p w14:paraId="0EDE0CAE" w14:textId="04E1FE8F" w:rsidR="008C5070" w:rsidRDefault="006316B6" w:rsidP="006316B6">
      <w:pPr>
        <w:pStyle w:val="NormalWeb"/>
        <w:shd w:val="clear" w:color="auto" w:fill="FFFFFF"/>
        <w:spacing w:before="0" w:beforeAutospacing="0"/>
        <w:ind w:left="720"/>
        <w:jc w:val="both"/>
        <w:rPr>
          <w:rFonts w:asciiTheme="minorHAnsi" w:hAnsiTheme="minorHAnsi" w:cstheme="minorHAnsi"/>
          <w:sz w:val="22"/>
          <w:szCs w:val="22"/>
        </w:rPr>
      </w:pPr>
      <w:r>
        <w:rPr>
          <w:rFonts w:asciiTheme="minorHAnsi" w:hAnsiTheme="minorHAnsi" w:cstheme="minorHAnsi"/>
          <w:sz w:val="22"/>
          <w:szCs w:val="22"/>
        </w:rPr>
        <w:t>The NSITEN is a volunteer based, not for profit cultural tourism organization that develops specific project-based initiatives aimed at growing the capacity for individuals, businesses and community lead tourism initiatives.</w:t>
      </w:r>
    </w:p>
    <w:p w14:paraId="561B24AB" w14:textId="77777777" w:rsidR="00D57644" w:rsidRDefault="00D57644" w:rsidP="00D57644">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Nova Scotia Museum – Mi’kmaq Portraits Collection</w:t>
      </w:r>
    </w:p>
    <w:p w14:paraId="6FE6A9C8" w14:textId="4C6D7E82" w:rsidR="00D57644" w:rsidRDefault="00000000" w:rsidP="00D57644">
      <w:pPr>
        <w:pStyle w:val="NormalWeb"/>
        <w:shd w:val="clear" w:color="auto" w:fill="FFFFFF"/>
        <w:spacing w:before="0" w:beforeAutospacing="0"/>
        <w:ind w:left="720"/>
        <w:jc w:val="both"/>
        <w:rPr>
          <w:rFonts w:asciiTheme="minorHAnsi" w:hAnsiTheme="minorHAnsi" w:cstheme="minorHAnsi"/>
          <w:sz w:val="22"/>
          <w:szCs w:val="22"/>
        </w:rPr>
      </w:pPr>
      <w:hyperlink r:id="rId26" w:history="1">
        <w:r w:rsidR="00D57644" w:rsidRPr="002B0B68">
          <w:rPr>
            <w:rStyle w:val="Hyperlink"/>
            <w:rFonts w:asciiTheme="minorHAnsi" w:hAnsiTheme="minorHAnsi" w:cstheme="minorHAnsi"/>
            <w:sz w:val="22"/>
            <w:szCs w:val="22"/>
          </w:rPr>
          <w:t>https://novascotia.ca/museum/mikmaq/?section=thumb&amp;page=10&amp;region=Nova%20Scotia&amp;period=</w:t>
        </w:r>
      </w:hyperlink>
    </w:p>
    <w:p w14:paraId="1B5D78A7" w14:textId="38835238" w:rsidR="00D57644" w:rsidRDefault="00D57644" w:rsidP="00D57644">
      <w:pPr>
        <w:pStyle w:val="NormalWeb"/>
        <w:shd w:val="clear" w:color="auto" w:fill="FFFFFF"/>
        <w:spacing w:before="0" w:beforeAutospacing="0"/>
        <w:ind w:left="720"/>
        <w:jc w:val="both"/>
        <w:rPr>
          <w:rFonts w:asciiTheme="minorHAnsi" w:hAnsiTheme="minorHAnsi" w:cstheme="minorHAnsi"/>
          <w:sz w:val="22"/>
          <w:szCs w:val="22"/>
        </w:rPr>
      </w:pPr>
      <w:r w:rsidRPr="00D57644">
        <w:rPr>
          <w:rFonts w:asciiTheme="minorHAnsi" w:hAnsiTheme="minorHAnsi" w:cstheme="minorHAnsi"/>
          <w:sz w:val="22"/>
          <w:szCs w:val="22"/>
        </w:rPr>
        <w:lastRenderedPageBreak/>
        <w:t>The Nova Scotia Museum's Mi'kmaq Portraits Collection is a database of more than 700 portraits and illustrations that provides a glimpse into the history of the Mi'kmaq of Atlantic Canada</w:t>
      </w:r>
      <w:r>
        <w:rPr>
          <w:rFonts w:asciiTheme="minorHAnsi" w:hAnsiTheme="minorHAnsi" w:cstheme="minorHAnsi"/>
          <w:sz w:val="22"/>
          <w:szCs w:val="22"/>
        </w:rPr>
        <w:t>.</w:t>
      </w:r>
    </w:p>
    <w:p w14:paraId="17FB57E4" w14:textId="47D1EC7C" w:rsidR="00D57644" w:rsidRDefault="00D57644" w:rsidP="00D57644">
      <w:pPr>
        <w:pStyle w:val="NormalWeb"/>
        <w:numPr>
          <w:ilvl w:val="0"/>
          <w:numId w:val="1"/>
        </w:numPr>
        <w:shd w:val="clear" w:color="auto" w:fill="FFFFFF"/>
        <w:spacing w:before="0" w:beforeAutospacing="0"/>
        <w:jc w:val="both"/>
        <w:rPr>
          <w:rFonts w:asciiTheme="minorHAnsi" w:hAnsiTheme="minorHAnsi" w:cstheme="minorHAnsi"/>
          <w:sz w:val="22"/>
          <w:szCs w:val="22"/>
        </w:rPr>
      </w:pPr>
      <w:r>
        <w:rPr>
          <w:rFonts w:asciiTheme="minorHAnsi" w:hAnsiTheme="minorHAnsi" w:cstheme="minorHAnsi"/>
          <w:sz w:val="22"/>
          <w:szCs w:val="22"/>
        </w:rPr>
        <w:t>The Confederacy of Mainland Mi’kmaq</w:t>
      </w:r>
    </w:p>
    <w:p w14:paraId="15E1B6C6" w14:textId="0E5CA75B" w:rsidR="00D57644" w:rsidRDefault="00000000" w:rsidP="00D57644">
      <w:pPr>
        <w:pStyle w:val="NormalWeb"/>
        <w:shd w:val="clear" w:color="auto" w:fill="FFFFFF"/>
        <w:spacing w:before="0" w:beforeAutospacing="0"/>
        <w:ind w:left="720"/>
        <w:jc w:val="both"/>
        <w:rPr>
          <w:rFonts w:asciiTheme="minorHAnsi" w:hAnsiTheme="minorHAnsi" w:cstheme="minorHAnsi"/>
          <w:sz w:val="22"/>
          <w:szCs w:val="22"/>
        </w:rPr>
      </w:pPr>
      <w:hyperlink r:id="rId27" w:history="1">
        <w:r w:rsidR="00D57644" w:rsidRPr="002B0B68">
          <w:rPr>
            <w:rStyle w:val="Hyperlink"/>
            <w:rFonts w:asciiTheme="minorHAnsi" w:hAnsiTheme="minorHAnsi" w:cstheme="minorHAnsi"/>
            <w:sz w:val="22"/>
            <w:szCs w:val="22"/>
          </w:rPr>
          <w:t>https://cmmns.com/resources/</w:t>
        </w:r>
      </w:hyperlink>
    </w:p>
    <w:p w14:paraId="12E25044" w14:textId="23C15BD8" w:rsidR="00D57644" w:rsidRDefault="00D57644" w:rsidP="00D57644">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r w:rsidRPr="00D57644">
        <w:rPr>
          <w:rFonts w:asciiTheme="minorHAnsi" w:hAnsiTheme="minorHAnsi" w:cstheme="minorHAnsi"/>
          <w:sz w:val="22"/>
          <w:szCs w:val="22"/>
          <w:shd w:val="clear" w:color="auto" w:fill="FFFFFF"/>
        </w:rPr>
        <w:t>The CMM delivers a variety of community programs and advisory services to first nations communities in Nova Scotia. The staff consists of a team of professional First Nations experts who bring unique Mi’kmaw perspectives to current issues.</w:t>
      </w:r>
    </w:p>
    <w:p w14:paraId="14B33480" w14:textId="1BF98DF5" w:rsidR="000C26B8" w:rsidRDefault="000C26B8" w:rsidP="000C26B8">
      <w:pPr>
        <w:pStyle w:val="NormalWeb"/>
        <w:numPr>
          <w:ilvl w:val="0"/>
          <w:numId w:val="1"/>
        </w:numPr>
        <w:shd w:val="clear" w:color="auto" w:fill="FFFFFF"/>
        <w:spacing w:before="0" w:beforeAutospacing="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Indigenous Tourism Association of Canada</w:t>
      </w:r>
    </w:p>
    <w:p w14:paraId="3B331C33" w14:textId="16E6F110" w:rsidR="000C26B8" w:rsidRDefault="000C26B8" w:rsidP="000C26B8">
      <w:pPr>
        <w:pStyle w:val="NormalWeb"/>
        <w:shd w:val="clear" w:color="auto" w:fill="FFFFFF"/>
        <w:spacing w:before="0" w:beforeAutospacing="0"/>
        <w:ind w:left="720"/>
        <w:jc w:val="both"/>
        <w:rPr>
          <w:rFonts w:asciiTheme="minorHAnsi" w:hAnsiTheme="minorHAnsi" w:cstheme="minorHAnsi"/>
          <w:sz w:val="22"/>
          <w:szCs w:val="22"/>
          <w:shd w:val="clear" w:color="auto" w:fill="FFFFFF"/>
        </w:rPr>
      </w:pPr>
      <w:hyperlink r:id="rId28" w:history="1">
        <w:r w:rsidRPr="007F1B80">
          <w:rPr>
            <w:rStyle w:val="Hyperlink"/>
            <w:rFonts w:asciiTheme="minorHAnsi" w:hAnsiTheme="minorHAnsi" w:cstheme="minorHAnsi"/>
            <w:sz w:val="22"/>
            <w:szCs w:val="22"/>
            <w:shd w:val="clear" w:color="auto" w:fill="FFFFFF"/>
          </w:rPr>
          <w:t>https://indigenoustourism.ca/</w:t>
        </w:r>
      </w:hyperlink>
    </w:p>
    <w:p w14:paraId="13B395CA" w14:textId="0F261EBB" w:rsidR="008C5070" w:rsidRPr="00150C05" w:rsidRDefault="000C26B8" w:rsidP="008C5070">
      <w:pPr>
        <w:pStyle w:val="NormalWeb"/>
        <w:shd w:val="clear" w:color="auto" w:fill="FFFFFF"/>
        <w:spacing w:before="0" w:beforeAutospacing="0"/>
        <w:ind w:left="720"/>
        <w:jc w:val="both"/>
        <w:rPr>
          <w:rFonts w:asciiTheme="minorHAnsi" w:hAnsiTheme="minorHAnsi" w:cstheme="minorHAnsi"/>
          <w:sz w:val="22"/>
          <w:szCs w:val="22"/>
        </w:rPr>
      </w:pPr>
      <w:r>
        <w:rPr>
          <w:rFonts w:asciiTheme="minorHAnsi" w:hAnsiTheme="minorHAnsi" w:cstheme="minorHAnsi"/>
          <w:sz w:val="22"/>
          <w:szCs w:val="22"/>
        </w:rPr>
        <w:t>The Indigenous Tourism Association of Canada focuses on creating partnerships between associations, organizations, government departments and industry leaders from across Canada to support the growth of Indigenous tourism in Canada and address the demand for development and marketing of authentic Indigenous experiences.</w:t>
      </w:r>
    </w:p>
    <w:p w14:paraId="35C094E9" w14:textId="77777777" w:rsidR="001761CF" w:rsidRDefault="001761CF" w:rsidP="001761CF">
      <w:pPr>
        <w:pStyle w:val="NormalWeb"/>
        <w:shd w:val="clear" w:color="auto" w:fill="FFFFFF"/>
        <w:spacing w:before="0" w:beforeAutospacing="0"/>
        <w:ind w:left="720"/>
        <w:jc w:val="both"/>
        <w:rPr>
          <w:rFonts w:asciiTheme="minorHAnsi" w:hAnsiTheme="minorHAnsi" w:cstheme="minorHAnsi"/>
          <w:sz w:val="22"/>
          <w:szCs w:val="22"/>
        </w:rPr>
      </w:pPr>
    </w:p>
    <w:p w14:paraId="21E1A446" w14:textId="77777777" w:rsidR="008B7334" w:rsidRDefault="008B7334" w:rsidP="008B7334">
      <w:pPr>
        <w:rPr>
          <w:sz w:val="24"/>
          <w:szCs w:val="24"/>
        </w:rPr>
      </w:pPr>
    </w:p>
    <w:p w14:paraId="6867D1A4" w14:textId="77777777" w:rsidR="008B7334" w:rsidRDefault="008B7334" w:rsidP="008B7334">
      <w:pPr>
        <w:rPr>
          <w:b/>
          <w:bCs/>
          <w:sz w:val="32"/>
          <w:szCs w:val="32"/>
          <w:u w:val="single"/>
        </w:rPr>
      </w:pPr>
      <w:r w:rsidRPr="008B7334">
        <w:rPr>
          <w:b/>
          <w:bCs/>
          <w:sz w:val="32"/>
          <w:szCs w:val="32"/>
          <w:u w:val="single"/>
        </w:rPr>
        <w:t>Journal Articles and Unpublished Theses</w:t>
      </w:r>
    </w:p>
    <w:p w14:paraId="68883AA6" w14:textId="77777777" w:rsidR="008B7334" w:rsidRPr="008B7334" w:rsidRDefault="008B7334" w:rsidP="008B7334">
      <w:pPr>
        <w:rPr>
          <w:b/>
          <w:bCs/>
          <w:sz w:val="32"/>
          <w:szCs w:val="32"/>
          <w:u w:val="single"/>
        </w:rPr>
      </w:pPr>
    </w:p>
    <w:p w14:paraId="4DEE96AD" w14:textId="52027C75" w:rsidR="008B7334" w:rsidRDefault="008B7334" w:rsidP="008B7334">
      <w:pPr>
        <w:jc w:val="center"/>
        <w:rPr>
          <w:sz w:val="24"/>
          <w:szCs w:val="24"/>
        </w:rPr>
      </w:pPr>
      <w:r>
        <w:rPr>
          <w:sz w:val="24"/>
          <w:szCs w:val="24"/>
        </w:rPr>
        <w:t xml:space="preserve">Cultural Tourism </w:t>
      </w:r>
    </w:p>
    <w:p w14:paraId="55174CB4" w14:textId="77777777" w:rsidR="008B7334" w:rsidRDefault="008B7334" w:rsidP="008B7334">
      <w:pPr>
        <w:ind w:left="720" w:hanging="720"/>
        <w:jc w:val="both"/>
        <w:rPr>
          <w:sz w:val="24"/>
          <w:szCs w:val="24"/>
        </w:rPr>
      </w:pPr>
      <w:proofErr w:type="spellStart"/>
      <w:r>
        <w:rPr>
          <w:sz w:val="24"/>
          <w:szCs w:val="24"/>
        </w:rPr>
        <w:t>Korstanje</w:t>
      </w:r>
      <w:proofErr w:type="spellEnd"/>
      <w:r>
        <w:rPr>
          <w:sz w:val="24"/>
          <w:szCs w:val="24"/>
        </w:rPr>
        <w:t xml:space="preserve">, Maximiliano. 2012. Reconsidering Cultural Tourism: An Anthropologist’s Perspective. </w:t>
      </w:r>
      <w:r>
        <w:rPr>
          <w:i/>
          <w:iCs/>
          <w:sz w:val="24"/>
          <w:szCs w:val="24"/>
        </w:rPr>
        <w:t>Journal of Heritage Tourism</w:t>
      </w:r>
      <w:r>
        <w:rPr>
          <w:sz w:val="24"/>
          <w:szCs w:val="24"/>
        </w:rPr>
        <w:t xml:space="preserve"> 7(2):179-184.</w:t>
      </w:r>
    </w:p>
    <w:p w14:paraId="79E677C5" w14:textId="77777777" w:rsidR="008B7334" w:rsidRDefault="008B7334" w:rsidP="008B7334">
      <w:pPr>
        <w:ind w:left="720" w:hanging="720"/>
        <w:jc w:val="both"/>
        <w:rPr>
          <w:sz w:val="24"/>
          <w:szCs w:val="24"/>
        </w:rPr>
      </w:pPr>
      <w:r>
        <w:rPr>
          <w:sz w:val="24"/>
          <w:szCs w:val="24"/>
        </w:rPr>
        <w:t>McKercher, Bob. 2003. Testing a Cultural Tourism Typology.</w:t>
      </w:r>
      <w:r>
        <w:rPr>
          <w:i/>
          <w:iCs/>
          <w:sz w:val="24"/>
          <w:szCs w:val="24"/>
        </w:rPr>
        <w:t xml:space="preserve"> International Journal of Tourism Research</w:t>
      </w:r>
      <w:r>
        <w:rPr>
          <w:sz w:val="24"/>
          <w:szCs w:val="24"/>
        </w:rPr>
        <w:t xml:space="preserve"> 5:45-58.</w:t>
      </w:r>
    </w:p>
    <w:p w14:paraId="198DAD5D" w14:textId="77777777" w:rsidR="008B7334" w:rsidRDefault="008B7334" w:rsidP="008B7334">
      <w:pPr>
        <w:ind w:left="720" w:hanging="720"/>
        <w:jc w:val="both"/>
        <w:rPr>
          <w:sz w:val="24"/>
          <w:szCs w:val="24"/>
        </w:rPr>
      </w:pPr>
      <w:r>
        <w:rPr>
          <w:sz w:val="24"/>
          <w:szCs w:val="24"/>
        </w:rPr>
        <w:t xml:space="preserve">Richards, Greg. 2018. Cultural Tourism: A Review of Recent Research and Trends. </w:t>
      </w:r>
      <w:r>
        <w:rPr>
          <w:i/>
          <w:iCs/>
          <w:sz w:val="24"/>
          <w:szCs w:val="24"/>
        </w:rPr>
        <w:t xml:space="preserve">Journal of Hospitality and Tourism Management </w:t>
      </w:r>
      <w:r>
        <w:rPr>
          <w:sz w:val="24"/>
          <w:szCs w:val="24"/>
        </w:rPr>
        <w:t>36:12-21.</w:t>
      </w:r>
    </w:p>
    <w:p w14:paraId="6B4098BB" w14:textId="77777777" w:rsidR="008B7334" w:rsidRDefault="008B7334" w:rsidP="008B7334">
      <w:pPr>
        <w:jc w:val="both"/>
        <w:rPr>
          <w:sz w:val="24"/>
          <w:szCs w:val="24"/>
        </w:rPr>
      </w:pPr>
    </w:p>
    <w:p w14:paraId="283036DF" w14:textId="77777777" w:rsidR="008B7334" w:rsidRDefault="008B7334" w:rsidP="008B7334">
      <w:pPr>
        <w:jc w:val="center"/>
        <w:rPr>
          <w:sz w:val="24"/>
          <w:szCs w:val="24"/>
        </w:rPr>
      </w:pPr>
      <w:r>
        <w:rPr>
          <w:sz w:val="24"/>
          <w:szCs w:val="24"/>
        </w:rPr>
        <w:t>Cultural Tourism Marketing and Management</w:t>
      </w:r>
    </w:p>
    <w:p w14:paraId="5CB5C314" w14:textId="77777777" w:rsidR="008B7334" w:rsidRDefault="008B7334" w:rsidP="008B7334">
      <w:pPr>
        <w:jc w:val="both"/>
        <w:rPr>
          <w:sz w:val="24"/>
          <w:szCs w:val="24"/>
        </w:rPr>
      </w:pPr>
    </w:p>
    <w:p w14:paraId="4409CDB4" w14:textId="77777777" w:rsidR="008B7334" w:rsidRDefault="008B7334" w:rsidP="008B7334">
      <w:pPr>
        <w:ind w:left="720" w:hanging="720"/>
        <w:jc w:val="both"/>
        <w:rPr>
          <w:sz w:val="24"/>
          <w:szCs w:val="24"/>
        </w:rPr>
      </w:pPr>
      <w:r>
        <w:rPr>
          <w:sz w:val="24"/>
          <w:szCs w:val="24"/>
        </w:rPr>
        <w:t xml:space="preserve">Chen, Han and Imran Rahman. 2018.Cultural Tourism: An Analysis of Engagement, Cultural Contact, Memorable Tourism Experience and Destination Loyalty. </w:t>
      </w:r>
      <w:r>
        <w:rPr>
          <w:i/>
          <w:iCs/>
          <w:sz w:val="24"/>
          <w:szCs w:val="24"/>
        </w:rPr>
        <w:t>Tourism Management Perspectives</w:t>
      </w:r>
      <w:r>
        <w:rPr>
          <w:sz w:val="24"/>
          <w:szCs w:val="24"/>
        </w:rPr>
        <w:t xml:space="preserve"> 26:153-163.</w:t>
      </w:r>
    </w:p>
    <w:p w14:paraId="47253A66" w14:textId="77777777" w:rsidR="008B7334" w:rsidRDefault="008B7334" w:rsidP="008B7334">
      <w:pPr>
        <w:ind w:left="720" w:hanging="720"/>
        <w:jc w:val="both"/>
        <w:rPr>
          <w:sz w:val="24"/>
          <w:szCs w:val="24"/>
        </w:rPr>
      </w:pPr>
      <w:r>
        <w:rPr>
          <w:sz w:val="24"/>
          <w:szCs w:val="24"/>
        </w:rPr>
        <w:lastRenderedPageBreak/>
        <w:t xml:space="preserve">Lo, Henry Wai Leong and Shameem Ali. 2013. Understanding Negative Visitor Experiences at Indigenous Cultural Tourism Venues: Marketing and Operational Implications. </w:t>
      </w:r>
      <w:r>
        <w:rPr>
          <w:i/>
          <w:iCs/>
          <w:sz w:val="24"/>
          <w:szCs w:val="24"/>
        </w:rPr>
        <w:t>Journal of Marketing Development and Competitiveness</w:t>
      </w:r>
      <w:r>
        <w:rPr>
          <w:sz w:val="24"/>
          <w:szCs w:val="24"/>
        </w:rPr>
        <w:t xml:space="preserve"> 7(2):138-145.</w:t>
      </w:r>
    </w:p>
    <w:p w14:paraId="7A3E23E2" w14:textId="77777777" w:rsidR="008B7334" w:rsidRDefault="008B7334" w:rsidP="008B7334">
      <w:pPr>
        <w:ind w:left="720" w:hanging="720"/>
        <w:jc w:val="both"/>
        <w:rPr>
          <w:sz w:val="24"/>
          <w:szCs w:val="24"/>
        </w:rPr>
      </w:pPr>
      <w:r>
        <w:rPr>
          <w:sz w:val="24"/>
          <w:szCs w:val="24"/>
        </w:rPr>
        <w:t xml:space="preserve">McKercher, Bob. 2020. Cultural Tourism Market: A Perspective Paper. </w:t>
      </w:r>
      <w:r>
        <w:rPr>
          <w:i/>
          <w:iCs/>
          <w:sz w:val="24"/>
          <w:szCs w:val="24"/>
        </w:rPr>
        <w:t>Tourism Review</w:t>
      </w:r>
      <w:r>
        <w:rPr>
          <w:sz w:val="24"/>
          <w:szCs w:val="24"/>
        </w:rPr>
        <w:t xml:space="preserve"> 75(1):126-129.</w:t>
      </w:r>
    </w:p>
    <w:p w14:paraId="3CF38439" w14:textId="77777777" w:rsidR="008B7334" w:rsidRDefault="008B7334" w:rsidP="008B7334">
      <w:pPr>
        <w:ind w:left="720" w:hanging="720"/>
        <w:jc w:val="both"/>
        <w:rPr>
          <w:sz w:val="24"/>
          <w:szCs w:val="24"/>
        </w:rPr>
      </w:pPr>
      <w:r>
        <w:rPr>
          <w:sz w:val="24"/>
          <w:szCs w:val="24"/>
        </w:rPr>
        <w:t xml:space="preserve">Noonan, Douglas S. and Ilde Rizzo. 2017. Economics of Cultural Tourism: Issues and Perspectives. </w:t>
      </w:r>
      <w:r>
        <w:rPr>
          <w:i/>
          <w:iCs/>
          <w:sz w:val="24"/>
          <w:szCs w:val="24"/>
        </w:rPr>
        <w:t>Journal of Cultural Economics</w:t>
      </w:r>
      <w:r>
        <w:rPr>
          <w:sz w:val="24"/>
          <w:szCs w:val="24"/>
        </w:rPr>
        <w:t xml:space="preserve"> 41:95-107.</w:t>
      </w:r>
    </w:p>
    <w:p w14:paraId="65244091" w14:textId="77777777" w:rsidR="008B7334" w:rsidRDefault="008B7334" w:rsidP="008B7334">
      <w:pPr>
        <w:ind w:left="720" w:hanging="720"/>
        <w:jc w:val="both"/>
        <w:rPr>
          <w:sz w:val="24"/>
          <w:szCs w:val="24"/>
        </w:rPr>
      </w:pPr>
      <w:r>
        <w:rPr>
          <w:sz w:val="24"/>
          <w:szCs w:val="24"/>
        </w:rPr>
        <w:t xml:space="preserve">Torre, Andrew and Helen Scarborough. 2017. Reconsidering the Estimation of the Economic Impact of Cultural Tourism. </w:t>
      </w:r>
      <w:r>
        <w:rPr>
          <w:i/>
          <w:iCs/>
          <w:sz w:val="24"/>
          <w:szCs w:val="24"/>
        </w:rPr>
        <w:t>Tourism Management</w:t>
      </w:r>
      <w:r>
        <w:rPr>
          <w:sz w:val="24"/>
          <w:szCs w:val="24"/>
        </w:rPr>
        <w:t xml:space="preserve"> 59:621-629.</w:t>
      </w:r>
    </w:p>
    <w:p w14:paraId="3ACDEDEB" w14:textId="77777777" w:rsidR="008B7334" w:rsidRDefault="008B7334" w:rsidP="008B7334">
      <w:pPr>
        <w:jc w:val="both"/>
        <w:rPr>
          <w:sz w:val="24"/>
          <w:szCs w:val="24"/>
        </w:rPr>
      </w:pPr>
    </w:p>
    <w:p w14:paraId="092D11CA" w14:textId="77777777" w:rsidR="008B7334" w:rsidRDefault="008B7334" w:rsidP="008B7334">
      <w:pPr>
        <w:jc w:val="center"/>
        <w:rPr>
          <w:sz w:val="24"/>
          <w:szCs w:val="24"/>
        </w:rPr>
      </w:pPr>
      <w:r>
        <w:rPr>
          <w:sz w:val="24"/>
          <w:szCs w:val="24"/>
        </w:rPr>
        <w:t>Indigenous, Aboriginal, and First Nations Cultural Tourism</w:t>
      </w:r>
    </w:p>
    <w:p w14:paraId="21101574" w14:textId="77777777" w:rsidR="008B7334" w:rsidRDefault="008B7334" w:rsidP="008B7334">
      <w:pPr>
        <w:jc w:val="both"/>
        <w:rPr>
          <w:sz w:val="24"/>
          <w:szCs w:val="24"/>
        </w:rPr>
      </w:pPr>
    </w:p>
    <w:p w14:paraId="0113B6EC" w14:textId="77777777" w:rsidR="008B7334" w:rsidRDefault="008B7334" w:rsidP="008B7334">
      <w:pPr>
        <w:ind w:left="720" w:hanging="720"/>
        <w:jc w:val="both"/>
        <w:rPr>
          <w:sz w:val="24"/>
          <w:szCs w:val="24"/>
        </w:rPr>
      </w:pPr>
      <w:r>
        <w:rPr>
          <w:sz w:val="24"/>
          <w:szCs w:val="24"/>
        </w:rPr>
        <w:t xml:space="preserve">Babb, Florence E. 2012. Theorizing Gender, Race, and Cultural Tourism in Latin America: A View from Peru and Mexico. </w:t>
      </w:r>
      <w:r>
        <w:rPr>
          <w:i/>
          <w:iCs/>
          <w:sz w:val="24"/>
          <w:szCs w:val="24"/>
        </w:rPr>
        <w:t>Latin American Perspectives</w:t>
      </w:r>
      <w:r>
        <w:rPr>
          <w:sz w:val="24"/>
          <w:szCs w:val="24"/>
        </w:rPr>
        <w:t xml:space="preserve"> 39(6):36-50.</w:t>
      </w:r>
    </w:p>
    <w:p w14:paraId="6C5D1C8D" w14:textId="77777777" w:rsidR="008B7334" w:rsidRDefault="008B7334" w:rsidP="008B7334">
      <w:pPr>
        <w:ind w:left="720" w:hanging="720"/>
        <w:jc w:val="both"/>
        <w:rPr>
          <w:sz w:val="24"/>
          <w:szCs w:val="24"/>
        </w:rPr>
      </w:pPr>
      <w:r>
        <w:rPr>
          <w:sz w:val="24"/>
          <w:szCs w:val="24"/>
        </w:rPr>
        <w:t xml:space="preserve">Bunten, Alexis Celeste. 2010. More Like Ourselves: Indigenous Capitalism through Tourism. </w:t>
      </w:r>
      <w:r>
        <w:rPr>
          <w:i/>
          <w:iCs/>
          <w:sz w:val="24"/>
          <w:szCs w:val="24"/>
        </w:rPr>
        <w:t>American Indian Quarterly</w:t>
      </w:r>
      <w:r>
        <w:rPr>
          <w:sz w:val="24"/>
          <w:szCs w:val="24"/>
        </w:rPr>
        <w:t xml:space="preserve"> 34(3):285-311.</w:t>
      </w:r>
    </w:p>
    <w:p w14:paraId="4B1D3C7E" w14:textId="77777777" w:rsidR="008B7334" w:rsidRDefault="008B7334" w:rsidP="008B7334">
      <w:pPr>
        <w:ind w:left="720" w:hanging="720"/>
        <w:jc w:val="both"/>
        <w:rPr>
          <w:sz w:val="24"/>
          <w:szCs w:val="24"/>
        </w:rPr>
      </w:pPr>
      <w:r>
        <w:rPr>
          <w:sz w:val="24"/>
          <w:szCs w:val="24"/>
        </w:rPr>
        <w:t xml:space="preserve">Coronado, Gabriela. 2014. Selling Culture? Between Commoditisation and Cultural Control in Indigenous Alternative Tourism. </w:t>
      </w:r>
      <w:r>
        <w:rPr>
          <w:i/>
          <w:iCs/>
          <w:sz w:val="24"/>
          <w:szCs w:val="24"/>
        </w:rPr>
        <w:t xml:space="preserve">PASOS: </w:t>
      </w:r>
      <w:proofErr w:type="spellStart"/>
      <w:r>
        <w:rPr>
          <w:i/>
          <w:iCs/>
          <w:sz w:val="24"/>
          <w:szCs w:val="24"/>
        </w:rPr>
        <w:t>Revista</w:t>
      </w:r>
      <w:proofErr w:type="spellEnd"/>
      <w:r>
        <w:rPr>
          <w:i/>
          <w:iCs/>
          <w:sz w:val="24"/>
          <w:szCs w:val="24"/>
        </w:rPr>
        <w:t xml:space="preserve"> de Turismo y Patrimonio Cultural</w:t>
      </w:r>
      <w:r>
        <w:rPr>
          <w:sz w:val="24"/>
          <w:szCs w:val="24"/>
        </w:rPr>
        <w:t xml:space="preserve"> 12(1):11-28.</w:t>
      </w:r>
    </w:p>
    <w:p w14:paraId="3BA6891D" w14:textId="77777777" w:rsidR="008B7334" w:rsidRDefault="008B7334" w:rsidP="008B7334">
      <w:pPr>
        <w:ind w:left="720" w:hanging="720"/>
        <w:jc w:val="both"/>
        <w:rPr>
          <w:sz w:val="24"/>
          <w:szCs w:val="24"/>
        </w:rPr>
      </w:pPr>
      <w:r>
        <w:rPr>
          <w:sz w:val="24"/>
          <w:szCs w:val="24"/>
        </w:rPr>
        <w:t xml:space="preserve">Kutzner, Diana, Pamela A. Wright, and Amelia Stark 2009. Identifying Tourists’ Preferences for Aboriginal Tourism Product Features: Implications for a Northern First Nation in British Columbia.  </w:t>
      </w:r>
      <w:r>
        <w:rPr>
          <w:i/>
          <w:iCs/>
          <w:sz w:val="24"/>
          <w:szCs w:val="24"/>
        </w:rPr>
        <w:t>Journal of Ecotourism</w:t>
      </w:r>
      <w:r>
        <w:rPr>
          <w:sz w:val="24"/>
          <w:szCs w:val="24"/>
        </w:rPr>
        <w:t xml:space="preserve"> 8(2):99-114.</w:t>
      </w:r>
    </w:p>
    <w:p w14:paraId="7EE6E11E" w14:textId="77777777" w:rsidR="008B7334" w:rsidRDefault="008B7334" w:rsidP="008B7334">
      <w:pPr>
        <w:ind w:left="720" w:hanging="720"/>
        <w:jc w:val="both"/>
        <w:rPr>
          <w:sz w:val="24"/>
          <w:szCs w:val="24"/>
        </w:rPr>
      </w:pPr>
      <w:proofErr w:type="spellStart"/>
      <w:r>
        <w:rPr>
          <w:sz w:val="24"/>
          <w:szCs w:val="24"/>
        </w:rPr>
        <w:t>Leleto</w:t>
      </w:r>
      <w:proofErr w:type="spellEnd"/>
      <w:r>
        <w:rPr>
          <w:sz w:val="24"/>
          <w:szCs w:val="24"/>
        </w:rPr>
        <w:t xml:space="preserve">, Naomi </w:t>
      </w:r>
      <w:proofErr w:type="spellStart"/>
      <w:r>
        <w:rPr>
          <w:sz w:val="24"/>
          <w:szCs w:val="24"/>
        </w:rPr>
        <w:t>Lanoi</w:t>
      </w:r>
      <w:proofErr w:type="spellEnd"/>
      <w:r>
        <w:rPr>
          <w:sz w:val="24"/>
          <w:szCs w:val="24"/>
        </w:rPr>
        <w:t xml:space="preserve">. 2019. Maasai Resistance to Cultural Appropriation in Tourism. </w:t>
      </w:r>
      <w:r>
        <w:rPr>
          <w:i/>
          <w:iCs/>
          <w:sz w:val="24"/>
          <w:szCs w:val="24"/>
        </w:rPr>
        <w:t>The Indigenous Peoples’ Journal of Law, Culture &amp; Resistance</w:t>
      </w:r>
      <w:r>
        <w:rPr>
          <w:sz w:val="24"/>
          <w:szCs w:val="24"/>
        </w:rPr>
        <w:t xml:space="preserve"> 5(1):21-34.</w:t>
      </w:r>
    </w:p>
    <w:p w14:paraId="7A5735F4" w14:textId="77777777" w:rsidR="008B7334" w:rsidRDefault="008B7334" w:rsidP="008B7334">
      <w:pPr>
        <w:ind w:left="720" w:hanging="720"/>
        <w:jc w:val="both"/>
        <w:rPr>
          <w:sz w:val="24"/>
          <w:szCs w:val="24"/>
        </w:rPr>
      </w:pPr>
      <w:r>
        <w:rPr>
          <w:sz w:val="24"/>
          <w:szCs w:val="24"/>
        </w:rPr>
        <w:t xml:space="preserve">Markowitz, Kristal. 2001/2002. Cultural Tourism: Exploration or Exploitation of American Indians? </w:t>
      </w:r>
      <w:r>
        <w:rPr>
          <w:i/>
          <w:iCs/>
          <w:sz w:val="24"/>
          <w:szCs w:val="24"/>
        </w:rPr>
        <w:t>American Indian Law Review</w:t>
      </w:r>
      <w:r>
        <w:rPr>
          <w:sz w:val="24"/>
          <w:szCs w:val="24"/>
        </w:rPr>
        <w:t xml:space="preserve"> 26(2):233-260.</w:t>
      </w:r>
    </w:p>
    <w:p w14:paraId="7EBDCDCB" w14:textId="77777777" w:rsidR="008B7334" w:rsidRDefault="008B7334" w:rsidP="008B7334">
      <w:pPr>
        <w:ind w:left="720" w:hanging="720"/>
        <w:jc w:val="both"/>
        <w:rPr>
          <w:sz w:val="24"/>
          <w:szCs w:val="24"/>
        </w:rPr>
      </w:pPr>
      <w:r>
        <w:rPr>
          <w:sz w:val="24"/>
          <w:szCs w:val="24"/>
        </w:rPr>
        <w:t xml:space="preserve">Medina, Laurie Kroshus. 2003. Commoditizing Culture: Tourism and Maya Identity. </w:t>
      </w:r>
      <w:r>
        <w:rPr>
          <w:i/>
          <w:iCs/>
          <w:sz w:val="24"/>
          <w:szCs w:val="24"/>
        </w:rPr>
        <w:t>Annals of Tourism Research</w:t>
      </w:r>
      <w:r>
        <w:rPr>
          <w:sz w:val="24"/>
          <w:szCs w:val="24"/>
        </w:rPr>
        <w:t xml:space="preserve"> 30(2):353-368.</w:t>
      </w:r>
    </w:p>
    <w:p w14:paraId="528CE433" w14:textId="77777777" w:rsidR="008B7334" w:rsidRDefault="008B7334" w:rsidP="008B7334">
      <w:pPr>
        <w:ind w:left="720" w:hanging="720"/>
        <w:jc w:val="both"/>
        <w:rPr>
          <w:sz w:val="24"/>
          <w:szCs w:val="24"/>
        </w:rPr>
      </w:pPr>
      <w:proofErr w:type="spellStart"/>
      <w:r>
        <w:rPr>
          <w:sz w:val="24"/>
          <w:szCs w:val="24"/>
        </w:rPr>
        <w:t>Melubo</w:t>
      </w:r>
      <w:proofErr w:type="spellEnd"/>
      <w:r>
        <w:rPr>
          <w:sz w:val="24"/>
          <w:szCs w:val="24"/>
        </w:rPr>
        <w:t xml:space="preserve">, Kokel and Anna Carr. 2019. Developing Indigenous Tourism in the </w:t>
      </w:r>
      <w:r>
        <w:rPr>
          <w:i/>
          <w:iCs/>
          <w:sz w:val="24"/>
          <w:szCs w:val="24"/>
        </w:rPr>
        <w:t>Bomas</w:t>
      </w:r>
      <w:r>
        <w:rPr>
          <w:sz w:val="24"/>
          <w:szCs w:val="24"/>
        </w:rPr>
        <w:t xml:space="preserve">: Critiquing Issues from within the Maasai Community in Tanzania. </w:t>
      </w:r>
      <w:r>
        <w:rPr>
          <w:i/>
          <w:iCs/>
          <w:sz w:val="24"/>
          <w:szCs w:val="24"/>
        </w:rPr>
        <w:t>Journal of Heritage Tourism</w:t>
      </w:r>
      <w:r>
        <w:rPr>
          <w:sz w:val="24"/>
          <w:szCs w:val="24"/>
        </w:rPr>
        <w:t xml:space="preserve"> 14(3):179-191.</w:t>
      </w:r>
    </w:p>
    <w:p w14:paraId="021B5152" w14:textId="77777777" w:rsidR="008B7334" w:rsidRDefault="008B7334" w:rsidP="008B7334">
      <w:pPr>
        <w:ind w:left="720" w:hanging="720"/>
        <w:jc w:val="both"/>
        <w:rPr>
          <w:sz w:val="24"/>
          <w:szCs w:val="24"/>
        </w:rPr>
      </w:pPr>
      <w:proofErr w:type="spellStart"/>
      <w:r>
        <w:rPr>
          <w:sz w:val="24"/>
          <w:szCs w:val="24"/>
        </w:rPr>
        <w:t>Notzke</w:t>
      </w:r>
      <w:proofErr w:type="spellEnd"/>
      <w:r>
        <w:rPr>
          <w:sz w:val="24"/>
          <w:szCs w:val="24"/>
        </w:rPr>
        <w:t xml:space="preserve">, Claudia. 2004. Indigenous Tourism Development in Southern Alberta, Canada: Tentative Engagement. </w:t>
      </w:r>
      <w:r>
        <w:rPr>
          <w:i/>
          <w:iCs/>
          <w:sz w:val="24"/>
          <w:szCs w:val="24"/>
        </w:rPr>
        <w:t>Journal of Sustainable Tourism</w:t>
      </w:r>
      <w:r>
        <w:rPr>
          <w:sz w:val="24"/>
          <w:szCs w:val="24"/>
        </w:rPr>
        <w:t xml:space="preserve"> 12(1):29-54.</w:t>
      </w:r>
    </w:p>
    <w:p w14:paraId="6D0B73A1" w14:textId="77777777" w:rsidR="008B7334" w:rsidRDefault="008B7334" w:rsidP="008B7334">
      <w:pPr>
        <w:ind w:left="720" w:hanging="720"/>
        <w:jc w:val="both"/>
        <w:rPr>
          <w:sz w:val="24"/>
          <w:szCs w:val="24"/>
        </w:rPr>
      </w:pPr>
      <w:r>
        <w:rPr>
          <w:sz w:val="24"/>
          <w:szCs w:val="24"/>
        </w:rPr>
        <w:lastRenderedPageBreak/>
        <w:t>Parry, Gwyneth E. M. 2000. Indigenous Cultural Tourism: An Examination of Process and Representation in Canada and Australia. Unpublished Master of Arts thesis. Ottawa: Carlton University.</w:t>
      </w:r>
    </w:p>
    <w:p w14:paraId="6B5FD436" w14:textId="77777777" w:rsidR="008B7334" w:rsidRDefault="008B7334" w:rsidP="008B7334">
      <w:pPr>
        <w:ind w:left="720" w:hanging="720"/>
        <w:jc w:val="both"/>
        <w:rPr>
          <w:sz w:val="24"/>
          <w:szCs w:val="24"/>
        </w:rPr>
      </w:pPr>
      <w:r>
        <w:rPr>
          <w:sz w:val="24"/>
          <w:szCs w:val="24"/>
        </w:rPr>
        <w:t>Pyke, Joanne Lynn. 2013. Promotional Impact of Image Formation of an Aboriginal Tourist Destination. Unpublished Doctor of Philosophy thesis. United Kingdom: Bournemouth University.</w:t>
      </w:r>
    </w:p>
    <w:p w14:paraId="565CFB99" w14:textId="77777777" w:rsidR="008B7334" w:rsidRDefault="008B7334" w:rsidP="008B7334">
      <w:pPr>
        <w:ind w:left="720" w:hanging="720"/>
        <w:jc w:val="both"/>
        <w:rPr>
          <w:sz w:val="24"/>
          <w:szCs w:val="24"/>
        </w:rPr>
      </w:pPr>
      <w:r>
        <w:rPr>
          <w:sz w:val="24"/>
          <w:szCs w:val="24"/>
        </w:rPr>
        <w:t>Spiller, Chellie M. 2010. How Māori Cultural Tourism Businesses Create Authentic and Sustainable Well-Being. Unpublished Doctor of Philosophy thesis. Auckland, NZ: University of Auckland.</w:t>
      </w:r>
    </w:p>
    <w:p w14:paraId="482D10A5" w14:textId="77777777" w:rsidR="008B7334" w:rsidRDefault="008B7334" w:rsidP="008B7334">
      <w:pPr>
        <w:ind w:left="720" w:hanging="720"/>
        <w:jc w:val="both"/>
        <w:rPr>
          <w:sz w:val="24"/>
          <w:szCs w:val="24"/>
        </w:rPr>
      </w:pPr>
      <w:r>
        <w:rPr>
          <w:sz w:val="24"/>
          <w:szCs w:val="24"/>
        </w:rPr>
        <w:t xml:space="preserve">Thimm, Tatjana. 2019. Cultural Sustainability–A Framework for Aboriginal Tourism in British Columbia. </w:t>
      </w:r>
      <w:r>
        <w:rPr>
          <w:i/>
          <w:iCs/>
          <w:sz w:val="24"/>
          <w:szCs w:val="24"/>
        </w:rPr>
        <w:t>Journal of Heritage Tourism</w:t>
      </w:r>
      <w:r>
        <w:rPr>
          <w:sz w:val="24"/>
          <w:szCs w:val="24"/>
        </w:rPr>
        <w:t xml:space="preserve"> 14(3):205-218.</w:t>
      </w:r>
    </w:p>
    <w:p w14:paraId="03E471A5" w14:textId="77777777" w:rsidR="008B7334" w:rsidRDefault="008B7334" w:rsidP="008B7334">
      <w:pPr>
        <w:ind w:left="720" w:hanging="720"/>
        <w:jc w:val="both"/>
        <w:rPr>
          <w:sz w:val="24"/>
          <w:szCs w:val="24"/>
        </w:rPr>
      </w:pPr>
      <w:r>
        <w:rPr>
          <w:sz w:val="24"/>
          <w:szCs w:val="24"/>
        </w:rPr>
        <w:t xml:space="preserve">Zeng, </w:t>
      </w:r>
      <w:proofErr w:type="spellStart"/>
      <w:r>
        <w:rPr>
          <w:sz w:val="24"/>
          <w:szCs w:val="24"/>
        </w:rPr>
        <w:t>Benxiang</w:t>
      </w:r>
      <w:proofErr w:type="spellEnd"/>
      <w:r>
        <w:rPr>
          <w:sz w:val="24"/>
          <w:szCs w:val="24"/>
        </w:rPr>
        <w:t xml:space="preserve">, Rolf Gerritsen, and Natalie </w:t>
      </w:r>
      <w:proofErr w:type="spellStart"/>
      <w:r>
        <w:rPr>
          <w:sz w:val="24"/>
          <w:szCs w:val="24"/>
        </w:rPr>
        <w:t>Stoecki</w:t>
      </w:r>
      <w:proofErr w:type="spellEnd"/>
      <w:r>
        <w:rPr>
          <w:sz w:val="24"/>
          <w:szCs w:val="24"/>
        </w:rPr>
        <w:t xml:space="preserve">. 2010. Contribution of Indigenous Culture to Tourism Development: A Case in Central Australia. </w:t>
      </w:r>
      <w:r>
        <w:rPr>
          <w:i/>
          <w:iCs/>
          <w:sz w:val="24"/>
          <w:szCs w:val="24"/>
        </w:rPr>
        <w:t>International Journal of Culture and Tourism Research</w:t>
      </w:r>
      <w:r>
        <w:rPr>
          <w:sz w:val="24"/>
          <w:szCs w:val="24"/>
        </w:rPr>
        <w:t xml:space="preserve"> 21:165-185.</w:t>
      </w:r>
    </w:p>
    <w:p w14:paraId="6DE88966" w14:textId="77777777" w:rsidR="008B7334" w:rsidRDefault="008B7334" w:rsidP="008B7334">
      <w:pPr>
        <w:ind w:left="720" w:hanging="720"/>
        <w:jc w:val="both"/>
        <w:rPr>
          <w:sz w:val="24"/>
          <w:szCs w:val="24"/>
        </w:rPr>
      </w:pPr>
      <w:proofErr w:type="spellStart"/>
      <w:r>
        <w:rPr>
          <w:sz w:val="24"/>
          <w:szCs w:val="24"/>
        </w:rPr>
        <w:t>Zeppel</w:t>
      </w:r>
      <w:proofErr w:type="spellEnd"/>
      <w:r>
        <w:rPr>
          <w:sz w:val="24"/>
          <w:szCs w:val="24"/>
        </w:rPr>
        <w:t xml:space="preserve">. Heather. 2002. Cultural Tourism at the Cowichan Native Village, British Columbia. </w:t>
      </w:r>
      <w:r>
        <w:rPr>
          <w:i/>
          <w:iCs/>
          <w:sz w:val="24"/>
          <w:szCs w:val="24"/>
        </w:rPr>
        <w:t>Journal of Travel Research</w:t>
      </w:r>
      <w:r>
        <w:rPr>
          <w:sz w:val="24"/>
          <w:szCs w:val="24"/>
        </w:rPr>
        <w:t xml:space="preserve"> 41:92-100.</w:t>
      </w:r>
    </w:p>
    <w:p w14:paraId="0CEC12AE" w14:textId="77777777" w:rsidR="008B7334" w:rsidRDefault="008B7334" w:rsidP="008B7334">
      <w:pPr>
        <w:jc w:val="both"/>
        <w:rPr>
          <w:sz w:val="24"/>
          <w:szCs w:val="24"/>
        </w:rPr>
      </w:pPr>
    </w:p>
    <w:p w14:paraId="5795642B" w14:textId="77777777" w:rsidR="008B7334" w:rsidRDefault="008B7334" w:rsidP="008B7334">
      <w:pPr>
        <w:jc w:val="center"/>
        <w:rPr>
          <w:sz w:val="24"/>
          <w:szCs w:val="24"/>
        </w:rPr>
      </w:pPr>
      <w:r>
        <w:rPr>
          <w:sz w:val="24"/>
          <w:szCs w:val="24"/>
        </w:rPr>
        <w:t>Mi’kmaw Cultural Tourism</w:t>
      </w:r>
    </w:p>
    <w:p w14:paraId="19309FFD" w14:textId="77777777" w:rsidR="008B7334" w:rsidRDefault="008B7334" w:rsidP="008B7334">
      <w:pPr>
        <w:jc w:val="both"/>
        <w:rPr>
          <w:sz w:val="24"/>
          <w:szCs w:val="24"/>
        </w:rPr>
      </w:pPr>
    </w:p>
    <w:p w14:paraId="797662A1" w14:textId="77777777" w:rsidR="008B7334" w:rsidRDefault="008B7334" w:rsidP="008B7334">
      <w:pPr>
        <w:ind w:left="720" w:hanging="720"/>
        <w:jc w:val="both"/>
        <w:rPr>
          <w:sz w:val="24"/>
          <w:szCs w:val="24"/>
        </w:rPr>
      </w:pPr>
      <w:r>
        <w:rPr>
          <w:sz w:val="24"/>
          <w:szCs w:val="24"/>
        </w:rPr>
        <w:t>Lynch, Mary-Frances. 2009. Tourist and Host Perspectives on Mi’kmaw Cultural Tourism in Nova Scotia. Unpublished Master of Environmental Studies thesis. Dalhousie University: Halifax, Nova Scotia.</w:t>
      </w:r>
    </w:p>
    <w:p w14:paraId="4DB2C3C2" w14:textId="77777777" w:rsidR="008B7334" w:rsidRDefault="008B7334" w:rsidP="008B7334">
      <w:pPr>
        <w:ind w:left="720" w:hanging="720"/>
        <w:jc w:val="both"/>
        <w:rPr>
          <w:sz w:val="24"/>
          <w:szCs w:val="24"/>
        </w:rPr>
      </w:pPr>
      <w:r>
        <w:rPr>
          <w:sz w:val="24"/>
          <w:szCs w:val="24"/>
        </w:rPr>
        <w:t xml:space="preserve">Lynch, Mary-Frances, Peter </w:t>
      </w:r>
      <w:proofErr w:type="spellStart"/>
      <w:r>
        <w:rPr>
          <w:sz w:val="24"/>
          <w:szCs w:val="24"/>
        </w:rPr>
        <w:t>Duinker</w:t>
      </w:r>
      <w:proofErr w:type="spellEnd"/>
      <w:r>
        <w:rPr>
          <w:sz w:val="24"/>
          <w:szCs w:val="24"/>
        </w:rPr>
        <w:t xml:space="preserve">, Lorn Sheehan, and Janet Chute. 2010. Sustainable Mi’kmaw Cultural Tourism Development in Nova Scotia, Canada: Examining Cultural Tourist and Mi’kmaw Perspectives. </w:t>
      </w:r>
      <w:r>
        <w:rPr>
          <w:i/>
          <w:iCs/>
          <w:sz w:val="24"/>
          <w:szCs w:val="24"/>
        </w:rPr>
        <w:t>Journal of Sustainable Tourism</w:t>
      </w:r>
      <w:r>
        <w:rPr>
          <w:sz w:val="24"/>
          <w:szCs w:val="24"/>
        </w:rPr>
        <w:t xml:space="preserve"> 18(4):539-556.</w:t>
      </w:r>
    </w:p>
    <w:p w14:paraId="5E0CBA53" w14:textId="77777777" w:rsidR="008B7334" w:rsidRDefault="008B7334" w:rsidP="008B7334">
      <w:pPr>
        <w:ind w:left="720" w:hanging="720"/>
        <w:jc w:val="both"/>
        <w:rPr>
          <w:sz w:val="24"/>
          <w:szCs w:val="24"/>
        </w:rPr>
      </w:pPr>
      <w:r>
        <w:rPr>
          <w:sz w:val="24"/>
          <w:szCs w:val="24"/>
        </w:rPr>
        <w:t xml:space="preserve">Lynch, Mary-Frances, Peter N. </w:t>
      </w:r>
      <w:proofErr w:type="spellStart"/>
      <w:r>
        <w:rPr>
          <w:sz w:val="24"/>
          <w:szCs w:val="24"/>
        </w:rPr>
        <w:t>Duinker</w:t>
      </w:r>
      <w:proofErr w:type="spellEnd"/>
      <w:r>
        <w:rPr>
          <w:sz w:val="24"/>
          <w:szCs w:val="24"/>
        </w:rPr>
        <w:t xml:space="preserve">, Lorn R. Sheehan, and Janet E. Chute. 2011. The Demand for Mi’kmaw Cultural Tourism: Tourist Perspectives. </w:t>
      </w:r>
      <w:r>
        <w:rPr>
          <w:i/>
          <w:iCs/>
          <w:sz w:val="24"/>
          <w:szCs w:val="24"/>
        </w:rPr>
        <w:t>Tourism Management</w:t>
      </w:r>
      <w:r>
        <w:rPr>
          <w:sz w:val="24"/>
          <w:szCs w:val="24"/>
        </w:rPr>
        <w:t xml:space="preserve"> 35(5):977-986.</w:t>
      </w:r>
    </w:p>
    <w:p w14:paraId="2954DB9E" w14:textId="77777777" w:rsidR="008B7334" w:rsidRDefault="008B7334" w:rsidP="008B7334">
      <w:pPr>
        <w:ind w:left="720" w:hanging="720"/>
        <w:jc w:val="both"/>
        <w:rPr>
          <w:sz w:val="24"/>
          <w:szCs w:val="24"/>
        </w:rPr>
      </w:pPr>
      <w:r>
        <w:rPr>
          <w:sz w:val="24"/>
          <w:szCs w:val="24"/>
        </w:rPr>
        <w:t xml:space="preserve">MacPherson, Stephanie, Patrick T. Maher, Janice Esther Tulk, and Mary Beth Doucette. 2016. </w:t>
      </w:r>
      <w:proofErr w:type="spellStart"/>
      <w:r>
        <w:rPr>
          <w:sz w:val="24"/>
          <w:szCs w:val="24"/>
        </w:rPr>
        <w:t>Eskasoni</w:t>
      </w:r>
      <w:proofErr w:type="spellEnd"/>
      <w:r>
        <w:rPr>
          <w:sz w:val="24"/>
          <w:szCs w:val="24"/>
        </w:rPr>
        <w:t xml:space="preserve"> Cultural Journeys: A Community-Led Approach to Sustainable Tourism Development. Paper presented at </w:t>
      </w:r>
      <w:r>
        <w:rPr>
          <w:i/>
          <w:iCs/>
          <w:sz w:val="24"/>
          <w:szCs w:val="24"/>
        </w:rPr>
        <w:t>TTRA Canada Conference</w:t>
      </w:r>
      <w:r>
        <w:rPr>
          <w:sz w:val="24"/>
          <w:szCs w:val="24"/>
        </w:rPr>
        <w:t xml:space="preserve"> 21. Amherst: University of Massachusetts.</w:t>
      </w:r>
    </w:p>
    <w:p w14:paraId="377A1198" w14:textId="77777777" w:rsidR="008B7334" w:rsidRDefault="008B7334" w:rsidP="008B7334">
      <w:pPr>
        <w:jc w:val="both"/>
        <w:rPr>
          <w:sz w:val="24"/>
          <w:szCs w:val="24"/>
        </w:rPr>
      </w:pPr>
    </w:p>
    <w:p w14:paraId="6101BBD9" w14:textId="77777777" w:rsidR="008B7334" w:rsidRDefault="008B7334" w:rsidP="008B7334">
      <w:pPr>
        <w:jc w:val="center"/>
        <w:rPr>
          <w:sz w:val="24"/>
          <w:szCs w:val="24"/>
        </w:rPr>
      </w:pPr>
      <w:r>
        <w:rPr>
          <w:sz w:val="24"/>
          <w:szCs w:val="24"/>
        </w:rPr>
        <w:t>Books and Edited Books</w:t>
      </w:r>
    </w:p>
    <w:p w14:paraId="1A90668D" w14:textId="77777777" w:rsidR="008B7334" w:rsidRDefault="008B7334" w:rsidP="008B7334">
      <w:pPr>
        <w:jc w:val="both"/>
        <w:rPr>
          <w:sz w:val="24"/>
          <w:szCs w:val="24"/>
        </w:rPr>
      </w:pPr>
    </w:p>
    <w:p w14:paraId="30BAE639" w14:textId="77777777" w:rsidR="008B7334" w:rsidRDefault="008B7334" w:rsidP="008B7334">
      <w:pPr>
        <w:jc w:val="both"/>
        <w:rPr>
          <w:sz w:val="24"/>
          <w:szCs w:val="24"/>
        </w:rPr>
      </w:pPr>
      <w:r>
        <w:rPr>
          <w:sz w:val="24"/>
          <w:szCs w:val="24"/>
        </w:rPr>
        <w:t xml:space="preserve">du Cros, Hilary and Bob McKercher. 2020. </w:t>
      </w:r>
      <w:r>
        <w:rPr>
          <w:i/>
          <w:iCs/>
          <w:sz w:val="24"/>
          <w:szCs w:val="24"/>
        </w:rPr>
        <w:t>Cultural Tourism</w:t>
      </w:r>
      <w:r>
        <w:rPr>
          <w:sz w:val="24"/>
          <w:szCs w:val="24"/>
        </w:rPr>
        <w:t>, 3</w:t>
      </w:r>
      <w:r>
        <w:rPr>
          <w:sz w:val="24"/>
          <w:szCs w:val="24"/>
          <w:vertAlign w:val="superscript"/>
        </w:rPr>
        <w:t>rd</w:t>
      </w:r>
      <w:r>
        <w:rPr>
          <w:sz w:val="24"/>
          <w:szCs w:val="24"/>
        </w:rPr>
        <w:t xml:space="preserve"> ed. London: Routledge.</w:t>
      </w:r>
    </w:p>
    <w:p w14:paraId="0D1ED8A0" w14:textId="77777777" w:rsidR="008B7334" w:rsidRDefault="008B7334" w:rsidP="008B7334">
      <w:pPr>
        <w:jc w:val="both"/>
        <w:rPr>
          <w:sz w:val="24"/>
          <w:szCs w:val="24"/>
        </w:rPr>
      </w:pPr>
      <w:r>
        <w:rPr>
          <w:sz w:val="24"/>
          <w:szCs w:val="24"/>
        </w:rPr>
        <w:t xml:space="preserve">Ivanovic, Melena. 2008. </w:t>
      </w:r>
      <w:r>
        <w:rPr>
          <w:i/>
          <w:iCs/>
          <w:sz w:val="24"/>
          <w:szCs w:val="24"/>
        </w:rPr>
        <w:t>Cultural Tourism</w:t>
      </w:r>
      <w:r>
        <w:rPr>
          <w:sz w:val="24"/>
          <w:szCs w:val="24"/>
        </w:rPr>
        <w:t>. Cape Town, South Africa: Juta.</w:t>
      </w:r>
    </w:p>
    <w:p w14:paraId="73692346" w14:textId="77777777" w:rsidR="008B7334" w:rsidRDefault="008B7334" w:rsidP="008B7334">
      <w:pPr>
        <w:ind w:left="720" w:hanging="720"/>
        <w:jc w:val="both"/>
        <w:rPr>
          <w:sz w:val="24"/>
          <w:szCs w:val="24"/>
        </w:rPr>
      </w:pPr>
      <w:r>
        <w:rPr>
          <w:sz w:val="24"/>
          <w:szCs w:val="24"/>
        </w:rPr>
        <w:t xml:space="preserve">Raj, Razaq, Kevin Griffin, and Nigel Morpeth, eds. 2013. </w:t>
      </w:r>
      <w:r>
        <w:rPr>
          <w:i/>
          <w:iCs/>
          <w:sz w:val="24"/>
          <w:szCs w:val="24"/>
        </w:rPr>
        <w:t>Cultural Tourism</w:t>
      </w:r>
      <w:r>
        <w:rPr>
          <w:sz w:val="24"/>
          <w:szCs w:val="24"/>
        </w:rPr>
        <w:t>. Oxfordshire, UK: CABI.</w:t>
      </w:r>
    </w:p>
    <w:p w14:paraId="237B3AA1" w14:textId="77777777" w:rsidR="008B7334" w:rsidRDefault="008B7334" w:rsidP="008B7334">
      <w:pPr>
        <w:ind w:left="720" w:hanging="720"/>
        <w:jc w:val="both"/>
        <w:rPr>
          <w:sz w:val="24"/>
          <w:szCs w:val="24"/>
        </w:rPr>
      </w:pPr>
      <w:r>
        <w:rPr>
          <w:sz w:val="24"/>
          <w:szCs w:val="24"/>
        </w:rPr>
        <w:t xml:space="preserve">Richards, Greg, ed. 2007. </w:t>
      </w:r>
      <w:r>
        <w:rPr>
          <w:i/>
          <w:iCs/>
          <w:sz w:val="24"/>
          <w:szCs w:val="24"/>
        </w:rPr>
        <w:t>Cultural Tourism: Global and Local Perspectives</w:t>
      </w:r>
      <w:r>
        <w:rPr>
          <w:sz w:val="24"/>
          <w:szCs w:val="24"/>
        </w:rPr>
        <w:t>. New York: Haworth Press.</w:t>
      </w:r>
    </w:p>
    <w:p w14:paraId="4984F241" w14:textId="77777777" w:rsidR="008B7334" w:rsidRDefault="008B7334" w:rsidP="008B7334">
      <w:pPr>
        <w:ind w:left="720" w:hanging="720"/>
        <w:jc w:val="both"/>
        <w:rPr>
          <w:sz w:val="24"/>
          <w:szCs w:val="24"/>
        </w:rPr>
      </w:pPr>
      <w:r>
        <w:rPr>
          <w:sz w:val="24"/>
          <w:szCs w:val="24"/>
        </w:rPr>
        <w:t xml:space="preserve">Richards, Greg and Wil </w:t>
      </w:r>
      <w:proofErr w:type="spellStart"/>
      <w:r>
        <w:rPr>
          <w:sz w:val="24"/>
          <w:szCs w:val="24"/>
        </w:rPr>
        <w:t>Munsters</w:t>
      </w:r>
      <w:proofErr w:type="spellEnd"/>
      <w:r>
        <w:rPr>
          <w:sz w:val="24"/>
          <w:szCs w:val="24"/>
        </w:rPr>
        <w:t xml:space="preserve">, eds. 2010. </w:t>
      </w:r>
      <w:r>
        <w:rPr>
          <w:i/>
          <w:iCs/>
          <w:sz w:val="24"/>
          <w:szCs w:val="24"/>
        </w:rPr>
        <w:t>Cultural Tourism Research Methods</w:t>
      </w:r>
      <w:r>
        <w:rPr>
          <w:sz w:val="24"/>
          <w:szCs w:val="24"/>
        </w:rPr>
        <w:t>. Oxfordshire, UK: CABI.</w:t>
      </w:r>
    </w:p>
    <w:p w14:paraId="0C4E7132" w14:textId="77777777" w:rsidR="008B7334" w:rsidRDefault="008B7334" w:rsidP="008B7334">
      <w:pPr>
        <w:ind w:left="720" w:hanging="720"/>
        <w:jc w:val="both"/>
        <w:rPr>
          <w:sz w:val="24"/>
          <w:szCs w:val="24"/>
        </w:rPr>
      </w:pPr>
      <w:r>
        <w:rPr>
          <w:sz w:val="24"/>
          <w:szCs w:val="24"/>
        </w:rPr>
        <w:t xml:space="preserve">Ryan, Chris and Michelle Aicken, eds. 2005. </w:t>
      </w:r>
      <w:r>
        <w:rPr>
          <w:i/>
          <w:iCs/>
          <w:sz w:val="24"/>
          <w:szCs w:val="24"/>
        </w:rPr>
        <w:t>Indigenous Tourism: The Commodification and Management of Culture</w:t>
      </w:r>
      <w:r>
        <w:rPr>
          <w:sz w:val="24"/>
          <w:szCs w:val="24"/>
        </w:rPr>
        <w:t>. Oxford: Elsevier.</w:t>
      </w:r>
    </w:p>
    <w:p w14:paraId="38594CE1" w14:textId="77777777" w:rsidR="008B7334" w:rsidRDefault="008B7334" w:rsidP="008B7334">
      <w:pPr>
        <w:jc w:val="both"/>
        <w:rPr>
          <w:sz w:val="24"/>
          <w:szCs w:val="24"/>
        </w:rPr>
      </w:pPr>
      <w:r>
        <w:rPr>
          <w:sz w:val="24"/>
          <w:szCs w:val="24"/>
        </w:rPr>
        <w:t xml:space="preserve">Smith, Melanie K. 2015. </w:t>
      </w:r>
      <w:r>
        <w:rPr>
          <w:i/>
          <w:iCs/>
          <w:sz w:val="24"/>
          <w:szCs w:val="24"/>
        </w:rPr>
        <w:t>Issues in Cultural Tourism Studies</w:t>
      </w:r>
      <w:r>
        <w:rPr>
          <w:sz w:val="24"/>
          <w:szCs w:val="24"/>
        </w:rPr>
        <w:t>, 3</w:t>
      </w:r>
      <w:r>
        <w:rPr>
          <w:sz w:val="24"/>
          <w:szCs w:val="24"/>
          <w:vertAlign w:val="superscript"/>
        </w:rPr>
        <w:t>rd</w:t>
      </w:r>
      <w:r>
        <w:rPr>
          <w:sz w:val="24"/>
          <w:szCs w:val="24"/>
        </w:rPr>
        <w:t xml:space="preserve"> ed. London: Routledge.</w:t>
      </w:r>
    </w:p>
    <w:p w14:paraId="54E712AD" w14:textId="77777777" w:rsidR="008B7334" w:rsidRDefault="008B7334" w:rsidP="008B7334">
      <w:pPr>
        <w:ind w:left="720" w:hanging="720"/>
        <w:jc w:val="both"/>
        <w:rPr>
          <w:sz w:val="24"/>
          <w:szCs w:val="24"/>
        </w:rPr>
      </w:pPr>
      <w:r>
        <w:rPr>
          <w:sz w:val="24"/>
          <w:szCs w:val="24"/>
        </w:rPr>
        <w:t xml:space="preserve">Smith, Melanie and Mike Robinson, eds. 2006. </w:t>
      </w:r>
      <w:r>
        <w:rPr>
          <w:i/>
          <w:iCs/>
          <w:sz w:val="24"/>
          <w:szCs w:val="24"/>
        </w:rPr>
        <w:t>Cultural Tourism in a Changing World: Politics, Participation and (Re)presentation</w:t>
      </w:r>
      <w:r>
        <w:rPr>
          <w:sz w:val="24"/>
          <w:szCs w:val="24"/>
        </w:rPr>
        <w:t>. Clevedon, UK: Channel View Publications.</w:t>
      </w:r>
    </w:p>
    <w:p w14:paraId="3FC466DE" w14:textId="77777777" w:rsidR="008B7334" w:rsidRDefault="008B7334" w:rsidP="008B7334">
      <w:pPr>
        <w:ind w:left="720" w:hanging="720"/>
        <w:jc w:val="both"/>
      </w:pPr>
      <w:r>
        <w:rPr>
          <w:sz w:val="24"/>
          <w:szCs w:val="24"/>
        </w:rPr>
        <w:t xml:space="preserve">Tomaselli, Keyan, ed. 2012. </w:t>
      </w:r>
      <w:r>
        <w:rPr>
          <w:i/>
          <w:iCs/>
          <w:sz w:val="24"/>
          <w:szCs w:val="24"/>
        </w:rPr>
        <w:t>Cultural Tourism and Identity: Rethinking Indigeneity</w:t>
      </w:r>
      <w:r>
        <w:rPr>
          <w:sz w:val="24"/>
          <w:szCs w:val="24"/>
        </w:rPr>
        <w:t>. Leiden and Boston: Brill.</w:t>
      </w:r>
    </w:p>
    <w:p w14:paraId="23CA45BA" w14:textId="77777777" w:rsidR="008B7334" w:rsidRPr="001761CF" w:rsidRDefault="008B7334" w:rsidP="001761CF">
      <w:pPr>
        <w:pStyle w:val="NormalWeb"/>
        <w:shd w:val="clear" w:color="auto" w:fill="FFFFFF"/>
        <w:spacing w:before="0" w:beforeAutospacing="0"/>
        <w:ind w:left="720"/>
        <w:jc w:val="both"/>
        <w:rPr>
          <w:rFonts w:asciiTheme="minorHAnsi" w:hAnsiTheme="minorHAnsi" w:cstheme="minorHAnsi"/>
          <w:sz w:val="22"/>
          <w:szCs w:val="22"/>
        </w:rPr>
      </w:pPr>
    </w:p>
    <w:sectPr w:rsidR="008B7334" w:rsidRPr="001761CF">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B9B1" w14:textId="77777777" w:rsidR="00E87B40" w:rsidRDefault="00E87B40" w:rsidP="00E53A88">
      <w:pPr>
        <w:spacing w:after="0" w:line="240" w:lineRule="auto"/>
      </w:pPr>
      <w:r>
        <w:separator/>
      </w:r>
    </w:p>
  </w:endnote>
  <w:endnote w:type="continuationSeparator" w:id="0">
    <w:p w14:paraId="0AF2F214" w14:textId="77777777" w:rsidR="00E87B40" w:rsidRDefault="00E87B40" w:rsidP="00E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33F8" w14:textId="655B7630" w:rsidR="00E53A88" w:rsidRDefault="00421263">
    <w:pPr>
      <w:pStyle w:val="Footer"/>
      <w:pBdr>
        <w:top w:val="single" w:sz="4" w:space="1" w:color="D9D9D9" w:themeColor="background1" w:themeShade="D9"/>
      </w:pBdr>
      <w:jc w:val="right"/>
    </w:pPr>
    <w:r>
      <w:t xml:space="preserve">Complied by the WTI October 2023                                                                                                 </w:t>
    </w:r>
    <w:sdt>
      <w:sdtPr>
        <w:id w:val="1114326870"/>
        <w:docPartObj>
          <w:docPartGallery w:val="Page Numbers (Bottom of Page)"/>
          <w:docPartUnique/>
        </w:docPartObj>
      </w:sdtPr>
      <w:sdtEndPr>
        <w:rPr>
          <w:color w:val="7F7F7F" w:themeColor="background1" w:themeShade="7F"/>
          <w:spacing w:val="60"/>
        </w:rPr>
      </w:sdtEndPr>
      <w:sdtContent>
        <w:r w:rsidR="00E53A88">
          <w:fldChar w:fldCharType="begin"/>
        </w:r>
        <w:r w:rsidR="00E53A88">
          <w:instrText xml:space="preserve"> PAGE   \* MERGEFORMAT </w:instrText>
        </w:r>
        <w:r w:rsidR="00E53A88">
          <w:fldChar w:fldCharType="separate"/>
        </w:r>
        <w:r w:rsidR="00E53A88">
          <w:rPr>
            <w:noProof/>
          </w:rPr>
          <w:t>2</w:t>
        </w:r>
        <w:r w:rsidR="00E53A88">
          <w:rPr>
            <w:noProof/>
          </w:rPr>
          <w:fldChar w:fldCharType="end"/>
        </w:r>
        <w:r w:rsidR="00E53A88">
          <w:t xml:space="preserve"> | </w:t>
        </w:r>
        <w:r w:rsidR="00E53A88">
          <w:rPr>
            <w:color w:val="7F7F7F" w:themeColor="background1" w:themeShade="7F"/>
            <w:spacing w:val="60"/>
          </w:rPr>
          <w:t>Page</w:t>
        </w:r>
      </w:sdtContent>
    </w:sdt>
  </w:p>
  <w:p w14:paraId="13788033" w14:textId="77777777" w:rsidR="00E53A88" w:rsidRDefault="00E53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7821" w14:textId="77777777" w:rsidR="00E87B40" w:rsidRDefault="00E87B40" w:rsidP="00E53A88">
      <w:pPr>
        <w:spacing w:after="0" w:line="240" w:lineRule="auto"/>
      </w:pPr>
      <w:r>
        <w:separator/>
      </w:r>
    </w:p>
  </w:footnote>
  <w:footnote w:type="continuationSeparator" w:id="0">
    <w:p w14:paraId="4CEC4B3F" w14:textId="77777777" w:rsidR="00E87B40" w:rsidRDefault="00E87B40" w:rsidP="00E53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461CA"/>
    <w:multiLevelType w:val="hybridMultilevel"/>
    <w:tmpl w:val="C66A5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247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42"/>
    <w:rsid w:val="000C26B8"/>
    <w:rsid w:val="00150C05"/>
    <w:rsid w:val="001761CF"/>
    <w:rsid w:val="001A3DD1"/>
    <w:rsid w:val="0027782E"/>
    <w:rsid w:val="002F1E83"/>
    <w:rsid w:val="003263BC"/>
    <w:rsid w:val="003462CC"/>
    <w:rsid w:val="00400797"/>
    <w:rsid w:val="00421263"/>
    <w:rsid w:val="00421AC0"/>
    <w:rsid w:val="00547B1D"/>
    <w:rsid w:val="006316B6"/>
    <w:rsid w:val="00642DF3"/>
    <w:rsid w:val="0066694F"/>
    <w:rsid w:val="006E4907"/>
    <w:rsid w:val="008674C3"/>
    <w:rsid w:val="00874AA0"/>
    <w:rsid w:val="008B7334"/>
    <w:rsid w:val="008B7882"/>
    <w:rsid w:val="008C5070"/>
    <w:rsid w:val="00A071A0"/>
    <w:rsid w:val="00B21358"/>
    <w:rsid w:val="00C02542"/>
    <w:rsid w:val="00D57644"/>
    <w:rsid w:val="00D746B2"/>
    <w:rsid w:val="00DE3694"/>
    <w:rsid w:val="00E53A88"/>
    <w:rsid w:val="00E641A3"/>
    <w:rsid w:val="00E87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84E6"/>
  <w15:chartTrackingRefBased/>
  <w15:docId w15:val="{3843D7A9-4D09-4903-8AEB-EC63BE81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42"/>
    <w:rPr>
      <w:color w:val="0563C1" w:themeColor="hyperlink"/>
      <w:u w:val="single"/>
    </w:rPr>
  </w:style>
  <w:style w:type="character" w:styleId="UnresolvedMention">
    <w:name w:val="Unresolved Mention"/>
    <w:basedOn w:val="DefaultParagraphFont"/>
    <w:uiPriority w:val="99"/>
    <w:semiHidden/>
    <w:unhideWhenUsed/>
    <w:rsid w:val="00C02542"/>
    <w:rPr>
      <w:color w:val="605E5C"/>
      <w:shd w:val="clear" w:color="auto" w:fill="E1DFDD"/>
    </w:rPr>
  </w:style>
  <w:style w:type="paragraph" w:styleId="NormalWeb">
    <w:name w:val="Normal (Web)"/>
    <w:basedOn w:val="Normal"/>
    <w:uiPriority w:val="99"/>
    <w:unhideWhenUsed/>
    <w:rsid w:val="00C025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E641A3"/>
    <w:pPr>
      <w:ind w:left="720"/>
      <w:contextualSpacing/>
    </w:pPr>
  </w:style>
  <w:style w:type="character" w:styleId="Strong">
    <w:name w:val="Strong"/>
    <w:basedOn w:val="DefaultParagraphFont"/>
    <w:uiPriority w:val="22"/>
    <w:qFormat/>
    <w:rsid w:val="00A071A0"/>
    <w:rPr>
      <w:b/>
      <w:bCs/>
    </w:rPr>
  </w:style>
  <w:style w:type="character" w:styleId="FollowedHyperlink">
    <w:name w:val="FollowedHyperlink"/>
    <w:basedOn w:val="DefaultParagraphFont"/>
    <w:uiPriority w:val="99"/>
    <w:semiHidden/>
    <w:unhideWhenUsed/>
    <w:rsid w:val="006316B6"/>
    <w:rPr>
      <w:color w:val="954F72" w:themeColor="followedHyperlink"/>
      <w:u w:val="single"/>
    </w:rPr>
  </w:style>
  <w:style w:type="paragraph" w:styleId="Header">
    <w:name w:val="header"/>
    <w:basedOn w:val="Normal"/>
    <w:link w:val="HeaderChar"/>
    <w:uiPriority w:val="99"/>
    <w:unhideWhenUsed/>
    <w:rsid w:val="00E5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A88"/>
  </w:style>
  <w:style w:type="paragraph" w:styleId="Footer">
    <w:name w:val="footer"/>
    <w:basedOn w:val="Normal"/>
    <w:link w:val="FooterChar"/>
    <w:uiPriority w:val="99"/>
    <w:unhideWhenUsed/>
    <w:rsid w:val="00E5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8062">
      <w:bodyDiv w:val="1"/>
      <w:marLeft w:val="0"/>
      <w:marRight w:val="0"/>
      <w:marTop w:val="0"/>
      <w:marBottom w:val="0"/>
      <w:divBdr>
        <w:top w:val="none" w:sz="0" w:space="0" w:color="auto"/>
        <w:left w:val="none" w:sz="0" w:space="0" w:color="auto"/>
        <w:bottom w:val="none" w:sz="0" w:space="0" w:color="auto"/>
        <w:right w:val="none" w:sz="0" w:space="0" w:color="auto"/>
      </w:divBdr>
    </w:div>
    <w:div w:id="2023583396">
      <w:bodyDiv w:val="1"/>
      <w:marLeft w:val="0"/>
      <w:marRight w:val="0"/>
      <w:marTop w:val="0"/>
      <w:marBottom w:val="0"/>
      <w:divBdr>
        <w:top w:val="none" w:sz="0" w:space="0" w:color="auto"/>
        <w:left w:val="none" w:sz="0" w:space="0" w:color="auto"/>
        <w:bottom w:val="none" w:sz="0" w:space="0" w:color="auto"/>
        <w:right w:val="none" w:sz="0" w:space="0" w:color="auto"/>
      </w:divBdr>
      <w:divsChild>
        <w:div w:id="1344699632">
          <w:marLeft w:val="0"/>
          <w:marRight w:val="0"/>
          <w:marTop w:val="0"/>
          <w:marBottom w:val="0"/>
          <w:divBdr>
            <w:top w:val="none" w:sz="0" w:space="0" w:color="auto"/>
            <w:left w:val="none" w:sz="0" w:space="0" w:color="auto"/>
            <w:bottom w:val="none" w:sz="0" w:space="0" w:color="auto"/>
            <w:right w:val="none" w:sz="0" w:space="0" w:color="auto"/>
          </w:divBdr>
          <w:divsChild>
            <w:div w:id="904923028">
              <w:marLeft w:val="0"/>
              <w:marRight w:val="0"/>
              <w:marTop w:val="0"/>
              <w:marBottom w:val="0"/>
              <w:divBdr>
                <w:top w:val="none" w:sz="0" w:space="0" w:color="auto"/>
                <w:left w:val="none" w:sz="0" w:space="0" w:color="auto"/>
                <w:bottom w:val="none" w:sz="0" w:space="0" w:color="auto"/>
                <w:right w:val="none" w:sz="0" w:space="0" w:color="auto"/>
              </w:divBdr>
            </w:div>
          </w:divsChild>
        </w:div>
        <w:div w:id="2094158877">
          <w:marLeft w:val="0"/>
          <w:marRight w:val="0"/>
          <w:marTop w:val="0"/>
          <w:marBottom w:val="0"/>
          <w:divBdr>
            <w:top w:val="none" w:sz="0" w:space="0" w:color="auto"/>
            <w:left w:val="none" w:sz="0" w:space="0" w:color="auto"/>
            <w:bottom w:val="none" w:sz="0" w:space="0" w:color="auto"/>
            <w:right w:val="none" w:sz="0" w:space="0" w:color="auto"/>
          </w:divBdr>
          <w:divsChild>
            <w:div w:id="831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gc.ca/apps/dfhd/page_nhs_eng.aspx?id=827" TargetMode="External"/><Relationship Id="rId18" Type="http://schemas.openxmlformats.org/officeDocument/2006/relationships/hyperlink" Target="https://parks.canada.ca/lhn-nhs/ns/portroyal" TargetMode="External"/><Relationship Id="rId26" Type="http://schemas.openxmlformats.org/officeDocument/2006/relationships/hyperlink" Target="https://novascotia.ca/museum/mikmaq/?section=thumb&amp;page=10&amp;region=Nova%20Scotia&amp;period=" TargetMode="External"/><Relationship Id="rId3" Type="http://schemas.openxmlformats.org/officeDocument/2006/relationships/styles" Target="styles.xml"/><Relationship Id="rId21" Type="http://schemas.openxmlformats.org/officeDocument/2006/relationships/hyperlink" Target="https://mikmaqrights.com/?cat=32"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parks.canada.ca/pn-np/ns/kejimkujik/activ/decouverte-tours/guidee-petroglyphes-guided-petroglyphs" TargetMode="External"/><Relationship Id="rId17" Type="http://schemas.openxmlformats.org/officeDocument/2006/relationships/hyperlink" Target="https://naturalhistory.novascotia.ca/" TargetMode="External"/><Relationship Id="rId25" Type="http://schemas.openxmlformats.org/officeDocument/2006/relationships/hyperlink" Target="https://www.nsiten.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millbrookheritagecentre.ca/" TargetMode="External"/><Relationship Id="rId20" Type="http://schemas.openxmlformats.org/officeDocument/2006/relationships/hyperlink" Target="https://www.mikmaweydebert.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mbertouheritagepark.com/" TargetMode="External"/><Relationship Id="rId24" Type="http://schemas.openxmlformats.org/officeDocument/2006/relationships/hyperlink" Target="https://www.kinu.ca/resource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kluskapridge.ca/" TargetMode="External"/><Relationship Id="rId23" Type="http://schemas.openxmlformats.org/officeDocument/2006/relationships/hyperlink" Target="https://vimeo.com/showcase/4376432" TargetMode="External"/><Relationship Id="rId28" Type="http://schemas.openxmlformats.org/officeDocument/2006/relationships/hyperlink" Target="https://indigenoustourism.ca/" TargetMode="External"/><Relationship Id="rId10" Type="http://schemas.openxmlformats.org/officeDocument/2006/relationships/hyperlink" Target="https://heritagepathtour.com/" TargetMode="External"/><Relationship Id="rId19" Type="http://schemas.openxmlformats.org/officeDocument/2006/relationships/hyperlink" Target="https://parks.canada.ca/lhn-nhs/ns/louisbourg/activ/autochtone-indigeno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kasoniculturaljourneys.ca/" TargetMode="External"/><Relationship Id="rId14" Type="http://schemas.openxmlformats.org/officeDocument/2006/relationships/hyperlink" Target="https://lennoxisland.com/culture-experiences/" TargetMode="External"/><Relationship Id="rId22" Type="http://schemas.openxmlformats.org/officeDocument/2006/relationships/hyperlink" Target="https://ions.ca/decolonization-resources/" TargetMode="External"/><Relationship Id="rId27" Type="http://schemas.openxmlformats.org/officeDocument/2006/relationships/hyperlink" Target="https://cmmns.com/resources/" TargetMode="Externa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A5A75026B7C345BA870167A95BB625" ma:contentTypeVersion="17" ma:contentTypeDescription="Create a new document." ma:contentTypeScope="" ma:versionID="669d204d831dd1902363ab4c10aca6ee">
  <xsd:schema xmlns:xsd="http://www.w3.org/2001/XMLSchema" xmlns:xs="http://www.w3.org/2001/XMLSchema" xmlns:p="http://schemas.microsoft.com/office/2006/metadata/properties" xmlns:ns2="b7abc792-4b54-48a7-888f-719158cc402e" xmlns:ns3="b7eff82f-11bc-44fa-9033-f4ddf3f6c3dc" targetNamespace="http://schemas.microsoft.com/office/2006/metadata/properties" ma:root="true" ma:fieldsID="b11e9528dea7fd71aca97728b2a920c1" ns2:_="" ns3:_="">
    <xsd:import namespace="b7abc792-4b54-48a7-888f-719158cc402e"/>
    <xsd:import namespace="b7eff82f-11bc-44fa-9033-f4ddf3f6c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bc792-4b54-48a7-888f-719158cc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1d10b-3ca5-4a2c-a3a1-a62ad54287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ff82f-11bc-44fa-9033-f4ddf3f6c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c89a56-c37f-40fe-ba63-b7fd231764fc}" ma:internalName="TaxCatchAll" ma:showField="CatchAllData" ma:web="b7eff82f-11bc-44fa-9033-f4ddf3f6c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eff82f-11bc-44fa-9033-f4ddf3f6c3dc" xsi:nil="true"/>
    <lcf76f155ced4ddcb4097134ff3c332f xmlns="b7abc792-4b54-48a7-888f-719158cc40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B8F3D-CBA6-43E0-8E43-3E3E5149924B}">
  <ds:schemaRefs>
    <ds:schemaRef ds:uri="http://schemas.openxmlformats.org/officeDocument/2006/bibliography"/>
  </ds:schemaRefs>
</ds:datastoreItem>
</file>

<file path=customXml/itemProps2.xml><?xml version="1.0" encoding="utf-8"?>
<ds:datastoreItem xmlns:ds="http://schemas.openxmlformats.org/officeDocument/2006/customXml" ds:itemID="{D262E577-1123-4EDF-A6F7-23B146E1F4F5}"/>
</file>

<file path=customXml/itemProps3.xml><?xml version="1.0" encoding="utf-8"?>
<ds:datastoreItem xmlns:ds="http://schemas.openxmlformats.org/officeDocument/2006/customXml" ds:itemID="{312399DB-BFE8-4B24-AF81-5D0A507CC253}"/>
</file>

<file path=customXml/itemProps4.xml><?xml version="1.0" encoding="utf-8"?>
<ds:datastoreItem xmlns:ds="http://schemas.openxmlformats.org/officeDocument/2006/customXml" ds:itemID="{EA028BE5-60F9-4C86-B7F9-99BC132C7E5E}"/>
</file>

<file path=docProps/app.xml><?xml version="1.0" encoding="utf-8"?>
<Properties xmlns="http://schemas.openxmlformats.org/officeDocument/2006/extended-properties" xmlns:vt="http://schemas.openxmlformats.org/officeDocument/2006/docPropsVTypes">
  <Template>Normal</Template>
  <TotalTime>5</TotalTime>
  <Pages>8</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DeGruchy</dc:creator>
  <cp:keywords/>
  <dc:description/>
  <cp:lastModifiedBy>Alison DeGruchy</cp:lastModifiedBy>
  <cp:revision>3</cp:revision>
  <dcterms:created xsi:type="dcterms:W3CDTF">2023-11-23T20:36:00Z</dcterms:created>
  <dcterms:modified xsi:type="dcterms:W3CDTF">2023-11-23T20:37:00Z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0x010100A7A5A75026B7C345BA870167A95BB625</vt:lpwstr>
  </property>
</Properties>
</file>